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117542"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NU ASFALTOWEGO WARSTWA WIĄŻĄCA I WYRÓWNAWCZA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 xml:space="preserve">Przedmiotem n/n Szczegółowej Specyfikacji Technicznej są wymagania dotyczące wykonania i </w:t>
      </w:r>
      <w:r w:rsidRPr="00064EC4">
        <w:rPr>
          <w:rFonts w:ascii="Times New Roman" w:hAnsi="Times New Roman"/>
          <w:color w:val="000000"/>
          <w:sz w:val="24"/>
          <w:szCs w:val="24"/>
        </w:rPr>
        <w:t xml:space="preserve">odbioru robót związanych z wykonywaniem warstw konstrukcji nawierzchni z betonu asfaltowego </w:t>
      </w:r>
      <w:r w:rsidR="00064EC4" w:rsidRPr="00064EC4">
        <w:rPr>
          <w:rFonts w:ascii="Times New Roman" w:hAnsi="Times New Roman"/>
          <w:sz w:val="24"/>
          <w:szCs w:val="24"/>
        </w:rPr>
        <w:t xml:space="preserve">w ramach inwestycji: </w:t>
      </w:r>
      <w:r w:rsidR="00D24397" w:rsidRPr="00D24397">
        <w:rPr>
          <w:rFonts w:ascii="Times New Roman" w:hAnsi="Times New Roman"/>
          <w:b/>
          <w:i/>
          <w:sz w:val="24"/>
          <w:szCs w:val="24"/>
        </w:rPr>
        <w:t>Przebudowa odcinka drogi  powiatowej Nr 1234B  Gruszki-Rubcowo-Skieblewo- do dr. Nr 664, dł. odcinka 990mb</w:t>
      </w:r>
      <w:r w:rsidR="00064EC4" w:rsidRPr="00064EC4">
        <w:rPr>
          <w:rFonts w:ascii="Times New Roman" w:hAnsi="Times New Roman"/>
          <w:b/>
          <w:i/>
          <w:sz w:val="24"/>
          <w:szCs w:val="24"/>
        </w:rPr>
        <w:t>.</w:t>
      </w:r>
    </w:p>
    <w:p w:rsidR="00064EC4" w:rsidRPr="00536809" w:rsidRDefault="00064EC4" w:rsidP="00C318BA">
      <w:pPr>
        <w:widowControl w:val="0"/>
        <w:autoSpaceDE w:val="0"/>
        <w:autoSpaceDN w:val="0"/>
        <w:adjustRightInd w:val="0"/>
        <w:spacing w:before="120" w:after="120" w:line="240" w:lineRule="auto"/>
        <w:ind w:firstLine="708"/>
        <w:jc w:val="both"/>
        <w:rPr>
          <w:rFonts w:ascii="Arial" w:hAnsi="Arial" w:cs="Arial"/>
          <w:sz w:val="24"/>
          <w:szCs w:val="24"/>
        </w:rPr>
      </w:pP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w:t>
      </w:r>
      <w:bookmarkStart w:id="0" w:name="_GoBack"/>
      <w:bookmarkEnd w:id="0"/>
      <w:r w:rsidRPr="00536809">
        <w:rPr>
          <w:rFonts w:ascii="Times New Roman" w:hAnsi="Times New Roman"/>
          <w:color w:val="000000"/>
          <w:sz w:val="24"/>
          <w:szCs w:val="24"/>
        </w:rPr>
        <w:t>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BC5B4C"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Pr>
          <w:rFonts w:ascii="Times New Roman" w:hAnsi="Times New Roman"/>
          <w:color w:val="000000"/>
          <w:sz w:val="24"/>
          <w:szCs w:val="24"/>
        </w:rPr>
        <w:t>- warstwy wiążącej z mieszanki typu AC 16 W</w:t>
      </w:r>
      <w:r w:rsidR="00C318BA" w:rsidRPr="00536809">
        <w:rPr>
          <w:rFonts w:ascii="Times New Roman" w:hAnsi="Times New Roman"/>
          <w:color w:val="000000"/>
          <w:sz w:val="24"/>
          <w:szCs w:val="24"/>
        </w:rPr>
        <w:t xml:space="preserve"> 50/70 dla KR1</w:t>
      </w:r>
      <w:r w:rsidR="00C318BA">
        <w:rPr>
          <w:rFonts w:ascii="Times New Roman" w:hAnsi="Times New Roman"/>
          <w:color w:val="000000"/>
          <w:sz w:val="24"/>
          <w:szCs w:val="24"/>
        </w:rPr>
        <w:t>-2 o grubości warstwy 4cm.</w:t>
      </w:r>
    </w:p>
    <w:p w:rsidR="00BC5B4C" w:rsidRDefault="00BC5B4C"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Pr>
          <w:rFonts w:ascii="Times New Roman" w:hAnsi="Times New Roman"/>
          <w:color w:val="000000"/>
          <w:sz w:val="24"/>
          <w:szCs w:val="24"/>
        </w:rPr>
        <w:t>- warstwy wyrównawczej</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-2 o grubości zmiennej</w:t>
      </w:r>
      <w:r w:rsidR="00264E0E">
        <w:rPr>
          <w:rFonts w:ascii="Times New Roman" w:hAnsi="Times New Roman"/>
          <w:color w:val="000000"/>
          <w:sz w:val="24"/>
          <w:szCs w:val="24"/>
        </w:rPr>
        <w:t xml:space="preserve"> w ilości 75</w:t>
      </w:r>
      <w:r w:rsidR="00F73177">
        <w:rPr>
          <w:rFonts w:ascii="Times New Roman" w:hAnsi="Times New Roman"/>
          <w:color w:val="000000"/>
          <w:sz w:val="24"/>
          <w:szCs w:val="24"/>
        </w:rPr>
        <w:t>- 100</w:t>
      </w:r>
      <w:r w:rsidR="00264E0E">
        <w:rPr>
          <w:rFonts w:ascii="Times New Roman" w:hAnsi="Times New Roman"/>
          <w:color w:val="000000"/>
          <w:sz w:val="24"/>
          <w:szCs w:val="24"/>
        </w:rPr>
        <w:t>kg/m</w:t>
      </w:r>
      <w:r w:rsidR="00264E0E" w:rsidRPr="00264E0E">
        <w:rPr>
          <w:rFonts w:ascii="Times New Roman" w:hAnsi="Times New Roman"/>
          <w:color w:val="000000"/>
          <w:sz w:val="24"/>
          <w:szCs w:val="24"/>
          <w:vertAlign w:val="superscript"/>
        </w:rPr>
        <w:t>2</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lastRenderedPageBreak/>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 xml:space="preserve">Skład chemiczny – uproszczony opis </w:t>
            </w:r>
            <w:r w:rsidRPr="00F51F3B">
              <w:rPr>
                <w:rFonts w:ascii="Times New Roman" w:hAnsi="Times New Roman"/>
              </w:rPr>
              <w:lastRenderedPageBreak/>
              <w:t>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lastRenderedPageBreak/>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lastRenderedPageBreak/>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Kanciastość kruszywa drobnego lub kruszywa </w:t>
            </w:r>
            <w:r w:rsidRPr="00F51F3B">
              <w:rPr>
                <w:rFonts w:ascii="Times New Roman" w:hAnsi="Times New Roman"/>
              </w:rPr>
              <w:lastRenderedPageBreak/>
              <w:t>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lastRenderedPageBreak/>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lastRenderedPageBreak/>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Ładowność i ilość środków transportowych powinna być tak dobrana aby zapewnić ciągłą </w:t>
      </w:r>
      <w:r w:rsidRPr="005A12B6">
        <w:rPr>
          <w:rFonts w:ascii="Times New Roman" w:hAnsi="Times New Roman"/>
          <w:color w:val="000000"/>
          <w:sz w:val="24"/>
          <w:szCs w:val="24"/>
        </w:rPr>
        <w:lastRenderedPageBreak/>
        <w:t>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w:t>
      </w:r>
      <w:r w:rsidRPr="005A12B6">
        <w:rPr>
          <w:rFonts w:ascii="Times New Roman" w:hAnsi="Times New Roman"/>
          <w:color w:val="000000"/>
          <w:sz w:val="24"/>
          <w:szCs w:val="24"/>
        </w:rPr>
        <w:lastRenderedPageBreak/>
        <w:t xml:space="preserve">mieszanki mineralno-asfaltowej procentową ilość lepiszcza rozpuszczalnego i 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t>
      </w:r>
      <w:r w:rsidRPr="0033183F">
        <w:rPr>
          <w:rFonts w:ascii="Times New Roman" w:hAnsi="Times New Roman"/>
          <w:color w:val="000000"/>
          <w:sz w:val="24"/>
          <w:szCs w:val="24"/>
        </w:rPr>
        <w:lastRenderedPageBreak/>
        <w:t xml:space="preserve">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8E" w:rsidRDefault="004F038E" w:rsidP="00C318BA">
      <w:pPr>
        <w:spacing w:after="0" w:line="240" w:lineRule="auto"/>
      </w:pPr>
      <w:r>
        <w:separator/>
      </w:r>
    </w:p>
  </w:endnote>
  <w:endnote w:type="continuationSeparator" w:id="0">
    <w:p w:rsidR="004F038E" w:rsidRDefault="004F038E"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8876"/>
      <w:docPartObj>
        <w:docPartGallery w:val="Page Numbers (Bottom of Page)"/>
        <w:docPartUnique/>
      </w:docPartObj>
    </w:sdtPr>
    <w:sdtEndPr/>
    <w:sdtContent>
      <w:p w:rsidR="00117542" w:rsidRDefault="00D24397"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8E" w:rsidRDefault="004F038E" w:rsidP="00C318BA">
      <w:pPr>
        <w:spacing w:after="0" w:line="240" w:lineRule="auto"/>
      </w:pPr>
      <w:r>
        <w:separator/>
      </w:r>
    </w:p>
  </w:footnote>
  <w:footnote w:type="continuationSeparator" w:id="0">
    <w:p w:rsidR="004F038E" w:rsidRDefault="004F038E"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064EC4"/>
    <w:rsid w:val="00117542"/>
    <w:rsid w:val="00141260"/>
    <w:rsid w:val="00193FA0"/>
    <w:rsid w:val="001D6D96"/>
    <w:rsid w:val="00264E0E"/>
    <w:rsid w:val="002B3AB4"/>
    <w:rsid w:val="0031245F"/>
    <w:rsid w:val="003A6259"/>
    <w:rsid w:val="00493DA2"/>
    <w:rsid w:val="004D4534"/>
    <w:rsid w:val="004F038E"/>
    <w:rsid w:val="00634AD6"/>
    <w:rsid w:val="0074226C"/>
    <w:rsid w:val="007C5844"/>
    <w:rsid w:val="007E0F45"/>
    <w:rsid w:val="007E17C2"/>
    <w:rsid w:val="007F7A21"/>
    <w:rsid w:val="00834986"/>
    <w:rsid w:val="008D669F"/>
    <w:rsid w:val="00A57C67"/>
    <w:rsid w:val="00BC5B4C"/>
    <w:rsid w:val="00C318BA"/>
    <w:rsid w:val="00CF0ECF"/>
    <w:rsid w:val="00D160A1"/>
    <w:rsid w:val="00D24397"/>
    <w:rsid w:val="00E32E97"/>
    <w:rsid w:val="00F36E4C"/>
    <w:rsid w:val="00F73177"/>
    <w:rsid w:val="00F911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EA97E-816D-4C09-A69D-56B9438EA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27</Pages>
  <Words>9474</Words>
  <Characters>56849</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9</cp:revision>
  <dcterms:created xsi:type="dcterms:W3CDTF">2015-01-11T13:05:00Z</dcterms:created>
  <dcterms:modified xsi:type="dcterms:W3CDTF">2020-02-06T11:28:00Z</dcterms:modified>
</cp:coreProperties>
</file>