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18BA" w:rsidRDefault="00117542" w:rsidP="00117542">
      <w:pPr>
        <w:widowControl w:val="0"/>
        <w:autoSpaceDE w:val="0"/>
        <w:autoSpaceDN w:val="0"/>
        <w:adjustRightInd w:val="0"/>
        <w:spacing w:before="689" w:after="0" w:line="240" w:lineRule="auto"/>
        <w:ind w:left="2124" w:hanging="2124"/>
        <w:jc w:val="both"/>
        <w:rPr>
          <w:rFonts w:ascii="Times New Roman" w:hAnsi="Times New Roman"/>
          <w:b/>
          <w:bCs/>
          <w:color w:val="000000"/>
          <w:sz w:val="28"/>
          <w:szCs w:val="28"/>
        </w:rPr>
      </w:pPr>
      <w:r>
        <w:rPr>
          <w:rFonts w:ascii="Times New Roman" w:hAnsi="Times New Roman"/>
          <w:b/>
          <w:bCs/>
          <w:color w:val="000000"/>
          <w:sz w:val="28"/>
          <w:szCs w:val="28"/>
        </w:rPr>
        <w:t>D-05.03.05c</w:t>
      </w:r>
      <w:r w:rsidR="00C318BA">
        <w:rPr>
          <w:rFonts w:ascii="Times New Roman" w:hAnsi="Times New Roman"/>
          <w:b/>
          <w:bCs/>
          <w:color w:val="000000"/>
          <w:sz w:val="28"/>
          <w:szCs w:val="28"/>
        </w:rPr>
        <w:t xml:space="preserve"> </w:t>
      </w:r>
      <w:r w:rsidR="00C318BA">
        <w:rPr>
          <w:rFonts w:ascii="Times New Roman" w:hAnsi="Times New Roman"/>
          <w:b/>
          <w:bCs/>
          <w:color w:val="000000"/>
          <w:sz w:val="28"/>
          <w:szCs w:val="28"/>
        </w:rPr>
        <w:tab/>
        <w:t>NAWIERZCHNIA Z BETO</w:t>
      </w:r>
      <w:r w:rsidR="00BC5B4C">
        <w:rPr>
          <w:rFonts w:ascii="Times New Roman" w:hAnsi="Times New Roman"/>
          <w:b/>
          <w:bCs/>
          <w:color w:val="000000"/>
          <w:sz w:val="28"/>
          <w:szCs w:val="28"/>
        </w:rPr>
        <w:t>NU ASFALTOWEGO WARSTWA WYRÓWNAWCZA</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  WSTĘP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1.1.  Przedmiot Szczegółowej Specyfikacji Technicznej (SST) </w:t>
      </w:r>
    </w:p>
    <w:p w:rsidR="00C318BA" w:rsidRPr="000C28E4" w:rsidRDefault="00C318BA" w:rsidP="000C28E4">
      <w:pPr>
        <w:widowControl w:val="0"/>
        <w:autoSpaceDE w:val="0"/>
        <w:autoSpaceDN w:val="0"/>
        <w:adjustRightInd w:val="0"/>
        <w:spacing w:before="120" w:after="120" w:line="240" w:lineRule="auto"/>
        <w:ind w:firstLine="708"/>
        <w:jc w:val="both"/>
        <w:rPr>
          <w:rFonts w:ascii="Times New Roman" w:hAnsi="Times New Roman"/>
          <w:b/>
          <w:i/>
          <w:sz w:val="24"/>
          <w:szCs w:val="24"/>
        </w:rPr>
      </w:pPr>
      <w:r w:rsidRPr="00536809">
        <w:rPr>
          <w:rFonts w:ascii="Times New Roman" w:hAnsi="Times New Roman"/>
          <w:color w:val="000000"/>
          <w:sz w:val="24"/>
          <w:szCs w:val="24"/>
        </w:rPr>
        <w:t xml:space="preserve">Przedmiotem n/n Szczegółowej Specyfikacji Technicznej są wymagania dotyczące wykonania i odbioru robót związanych z wykonywaniem warstw konstrukcji nawierzchni z betonu asfaltowego </w:t>
      </w:r>
      <w:r w:rsidR="00141260">
        <w:rPr>
          <w:rFonts w:ascii="Times New Roman" w:hAnsi="Times New Roman"/>
          <w:color w:val="000000"/>
          <w:sz w:val="24"/>
          <w:szCs w:val="24"/>
        </w:rPr>
        <w:t xml:space="preserve">dla </w:t>
      </w:r>
      <w:r w:rsidR="006816F4" w:rsidRPr="006816F4">
        <w:rPr>
          <w:rFonts w:ascii="Times New Roman" w:hAnsi="Times New Roman"/>
          <w:sz w:val="24"/>
          <w:szCs w:val="24"/>
        </w:rPr>
        <w:t>zadania pn.</w:t>
      </w:r>
      <w:r w:rsidR="003513C3" w:rsidRPr="003513C3">
        <w:t xml:space="preserve"> </w:t>
      </w:r>
      <w:r w:rsidR="000C28E4" w:rsidRPr="000C28E4">
        <w:rPr>
          <w:rFonts w:ascii="Times New Roman" w:hAnsi="Times New Roman"/>
          <w:b/>
          <w:i/>
          <w:sz w:val="24"/>
          <w:szCs w:val="24"/>
        </w:rPr>
        <w:t>Remont odcinków nawierzchni bitumicznej j</w:t>
      </w:r>
      <w:r w:rsidR="000C28E4">
        <w:rPr>
          <w:rFonts w:ascii="Times New Roman" w:hAnsi="Times New Roman"/>
          <w:b/>
          <w:i/>
          <w:sz w:val="24"/>
          <w:szCs w:val="24"/>
        </w:rPr>
        <w:t xml:space="preserve">ezdni w ciągu dróg powiatowych </w:t>
      </w:r>
      <w:bookmarkStart w:id="0" w:name="_GoBack"/>
      <w:bookmarkEnd w:id="0"/>
      <w:r w:rsidR="000C28E4" w:rsidRPr="000C28E4">
        <w:rPr>
          <w:rFonts w:ascii="Times New Roman" w:hAnsi="Times New Roman"/>
          <w:b/>
          <w:i/>
          <w:sz w:val="24"/>
          <w:szCs w:val="24"/>
        </w:rPr>
        <w:t>Nr 1213B Barszcze-Pruska-</w:t>
      </w:r>
      <w:proofErr w:type="spellStart"/>
      <w:r w:rsidR="000C28E4" w:rsidRPr="000C28E4">
        <w:rPr>
          <w:rFonts w:ascii="Times New Roman" w:hAnsi="Times New Roman"/>
          <w:b/>
          <w:i/>
          <w:sz w:val="24"/>
          <w:szCs w:val="24"/>
        </w:rPr>
        <w:t>Tajno</w:t>
      </w:r>
      <w:proofErr w:type="spellEnd"/>
      <w:r w:rsidR="000C28E4" w:rsidRPr="000C28E4">
        <w:rPr>
          <w:rFonts w:ascii="Times New Roman" w:hAnsi="Times New Roman"/>
          <w:b/>
          <w:i/>
          <w:sz w:val="24"/>
          <w:szCs w:val="24"/>
        </w:rPr>
        <w:t xml:space="preserve"> </w:t>
      </w:r>
      <w:proofErr w:type="spellStart"/>
      <w:r w:rsidR="000C28E4" w:rsidRPr="000C28E4">
        <w:rPr>
          <w:rFonts w:ascii="Times New Roman" w:hAnsi="Times New Roman"/>
          <w:b/>
          <w:i/>
          <w:sz w:val="24"/>
          <w:szCs w:val="24"/>
        </w:rPr>
        <w:t>Łanowe-Netta</w:t>
      </w:r>
      <w:proofErr w:type="spellEnd"/>
      <w:r w:rsidR="000C28E4" w:rsidRPr="000C28E4">
        <w:rPr>
          <w:rFonts w:ascii="Times New Roman" w:hAnsi="Times New Roman"/>
          <w:b/>
          <w:i/>
          <w:sz w:val="24"/>
          <w:szCs w:val="24"/>
        </w:rPr>
        <w:t xml:space="preserve"> Druga oraz Nr 1216B Stare </w:t>
      </w:r>
      <w:proofErr w:type="spellStart"/>
      <w:r w:rsidR="000C28E4" w:rsidRPr="000C28E4">
        <w:rPr>
          <w:rFonts w:ascii="Times New Roman" w:hAnsi="Times New Roman"/>
          <w:b/>
          <w:i/>
          <w:sz w:val="24"/>
          <w:szCs w:val="24"/>
        </w:rPr>
        <w:t>Tajno</w:t>
      </w:r>
      <w:proofErr w:type="spellEnd"/>
      <w:r w:rsidR="000C28E4" w:rsidRPr="000C28E4">
        <w:rPr>
          <w:rFonts w:ascii="Times New Roman" w:hAnsi="Times New Roman"/>
          <w:b/>
          <w:i/>
          <w:sz w:val="24"/>
          <w:szCs w:val="24"/>
        </w:rPr>
        <w:t xml:space="preserve"> -Tajenko-Orzechówka-</w:t>
      </w:r>
      <w:proofErr w:type="spellStart"/>
      <w:r w:rsidR="000C28E4" w:rsidRPr="000C28E4">
        <w:rPr>
          <w:rFonts w:ascii="Times New Roman" w:hAnsi="Times New Roman"/>
          <w:b/>
          <w:i/>
          <w:sz w:val="24"/>
          <w:szCs w:val="24"/>
        </w:rPr>
        <w:t>Woznawieś</w:t>
      </w:r>
      <w:proofErr w:type="spellEnd"/>
      <w:r w:rsidR="000C28E4" w:rsidRPr="000C28E4">
        <w:rPr>
          <w:rFonts w:ascii="Times New Roman" w:hAnsi="Times New Roman"/>
          <w:b/>
          <w:i/>
          <w:sz w:val="24"/>
          <w:szCs w:val="24"/>
        </w:rPr>
        <w:t xml:space="preserve">-do dr.61 w m. </w:t>
      </w:r>
      <w:proofErr w:type="spellStart"/>
      <w:r w:rsidR="000C28E4" w:rsidRPr="000C28E4">
        <w:rPr>
          <w:rFonts w:ascii="Times New Roman" w:hAnsi="Times New Roman"/>
          <w:b/>
          <w:i/>
          <w:sz w:val="24"/>
          <w:szCs w:val="24"/>
        </w:rPr>
        <w:t>Tajno</w:t>
      </w:r>
      <w:proofErr w:type="spellEnd"/>
      <w:r w:rsidR="000C28E4" w:rsidRPr="000C28E4">
        <w:rPr>
          <w:rFonts w:ascii="Times New Roman" w:hAnsi="Times New Roman"/>
          <w:b/>
          <w:i/>
          <w:sz w:val="24"/>
          <w:szCs w:val="24"/>
        </w:rPr>
        <w:t xml:space="preserve"> Stare</w:t>
      </w:r>
      <w:r w:rsidR="006816F4" w:rsidRPr="006C216D">
        <w:rPr>
          <w:rFonts w:ascii="Times New Roman" w:hAnsi="Times New Roman"/>
          <w:b/>
          <w:i/>
          <w:sz w:val="24"/>
          <w:szCs w:val="24"/>
        </w:rPr>
        <w:t>.</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1.2.  Zakres stosowania SST </w:t>
      </w:r>
    </w:p>
    <w:p w:rsidR="00C318BA" w:rsidRPr="00536809" w:rsidRDefault="00C318BA" w:rsidP="00C318BA">
      <w:pPr>
        <w:widowControl w:val="0"/>
        <w:autoSpaceDE w:val="0"/>
        <w:autoSpaceDN w:val="0"/>
        <w:adjustRightInd w:val="0"/>
        <w:spacing w:before="120" w:after="120" w:line="240" w:lineRule="auto"/>
        <w:ind w:firstLine="708"/>
        <w:jc w:val="both"/>
        <w:rPr>
          <w:rFonts w:ascii="Arial" w:hAnsi="Arial" w:cs="Arial"/>
          <w:sz w:val="24"/>
          <w:szCs w:val="24"/>
        </w:rPr>
      </w:pPr>
      <w:r w:rsidRPr="00536809">
        <w:rPr>
          <w:rFonts w:ascii="Times New Roman" w:hAnsi="Times New Roman"/>
          <w:color w:val="000000"/>
          <w:sz w:val="24"/>
          <w:szCs w:val="24"/>
        </w:rPr>
        <w:t>Szczegółowa Specyfikacja Techniczna jest stosowana jako dokument przetargowy</w:t>
      </w:r>
      <w:r>
        <w:rPr>
          <w:rFonts w:ascii="Times New Roman" w:hAnsi="Times New Roman"/>
          <w:color w:val="000000"/>
          <w:sz w:val="24"/>
          <w:szCs w:val="24"/>
        </w:rPr>
        <w:t xml:space="preserve"> i </w:t>
      </w:r>
      <w:r w:rsidRPr="00536809">
        <w:rPr>
          <w:rFonts w:ascii="Times New Roman" w:hAnsi="Times New Roman"/>
          <w:color w:val="000000"/>
          <w:sz w:val="24"/>
          <w:szCs w:val="24"/>
        </w:rPr>
        <w:t xml:space="preserve">kontraktowy przy zlecaniu i realizacji robót wymienionych w pkt. 1.1.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1.3.  Zakres robót objętych SST </w:t>
      </w:r>
    </w:p>
    <w:p w:rsidR="00C318BA" w:rsidRDefault="00C318BA" w:rsidP="00C318BA">
      <w:pPr>
        <w:widowControl w:val="0"/>
        <w:autoSpaceDE w:val="0"/>
        <w:autoSpaceDN w:val="0"/>
        <w:adjustRightInd w:val="0"/>
        <w:spacing w:before="120" w:after="120" w:line="240" w:lineRule="auto"/>
        <w:ind w:firstLine="708"/>
        <w:jc w:val="both"/>
        <w:rPr>
          <w:rFonts w:ascii="Times New Roman" w:hAnsi="Times New Roman"/>
          <w:color w:val="000000"/>
          <w:sz w:val="24"/>
          <w:szCs w:val="24"/>
        </w:rPr>
      </w:pPr>
      <w:r w:rsidRPr="00536809">
        <w:rPr>
          <w:rFonts w:ascii="Times New Roman" w:hAnsi="Times New Roman"/>
          <w:color w:val="000000"/>
          <w:sz w:val="24"/>
          <w:szCs w:val="24"/>
        </w:rPr>
        <w:t>Ustalenia zawarte w n/n Szczegółowej Specyfikacji Technicznej dotyczą zasad prowadzenia robót związanych z wykonaniem:</w:t>
      </w:r>
    </w:p>
    <w:p w:rsidR="00BC5B4C" w:rsidRDefault="00BC5B4C" w:rsidP="00FD44E2">
      <w:pPr>
        <w:widowControl w:val="0"/>
        <w:autoSpaceDE w:val="0"/>
        <w:autoSpaceDN w:val="0"/>
        <w:adjustRightInd w:val="0"/>
        <w:spacing w:before="120" w:after="120" w:line="240" w:lineRule="auto"/>
        <w:jc w:val="both"/>
        <w:rPr>
          <w:rFonts w:ascii="Times New Roman" w:hAnsi="Times New Roman"/>
          <w:color w:val="000000"/>
          <w:sz w:val="24"/>
          <w:szCs w:val="24"/>
        </w:rPr>
      </w:pPr>
      <w:r>
        <w:rPr>
          <w:rFonts w:ascii="Times New Roman" w:hAnsi="Times New Roman"/>
          <w:color w:val="000000"/>
          <w:sz w:val="24"/>
          <w:szCs w:val="24"/>
        </w:rPr>
        <w:t>- warstwy wyrównawczej</w:t>
      </w:r>
      <w:r w:rsidRPr="00BC5B4C">
        <w:rPr>
          <w:rFonts w:ascii="Times New Roman" w:hAnsi="Times New Roman"/>
          <w:color w:val="000000"/>
          <w:sz w:val="24"/>
          <w:szCs w:val="24"/>
        </w:rPr>
        <w:t xml:space="preserve"> </w:t>
      </w:r>
      <w:r>
        <w:rPr>
          <w:rFonts w:ascii="Times New Roman" w:hAnsi="Times New Roman"/>
          <w:color w:val="000000"/>
          <w:sz w:val="24"/>
          <w:szCs w:val="24"/>
        </w:rPr>
        <w:t>z mieszanki typu AC 16 W</w:t>
      </w:r>
      <w:r w:rsidRPr="00536809">
        <w:rPr>
          <w:rFonts w:ascii="Times New Roman" w:hAnsi="Times New Roman"/>
          <w:color w:val="000000"/>
          <w:sz w:val="24"/>
          <w:szCs w:val="24"/>
        </w:rPr>
        <w:t xml:space="preserve"> 50/70 dla KR1</w:t>
      </w:r>
      <w:r>
        <w:rPr>
          <w:rFonts w:ascii="Times New Roman" w:hAnsi="Times New Roman"/>
          <w:color w:val="000000"/>
          <w:sz w:val="24"/>
          <w:szCs w:val="24"/>
        </w:rPr>
        <w:t xml:space="preserve">-2 </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b/>
          <w:bCs/>
          <w:sz w:val="24"/>
          <w:szCs w:val="24"/>
          <w:lang w:eastAsia="en-US"/>
        </w:rPr>
      </w:pPr>
      <w:r w:rsidRPr="006D5243">
        <w:rPr>
          <w:rFonts w:ascii="Times New Roman" w:eastAsiaTheme="minorHAnsi" w:hAnsi="Times New Roman"/>
          <w:b/>
          <w:bCs/>
          <w:sz w:val="24"/>
          <w:szCs w:val="24"/>
          <w:lang w:eastAsia="en-US"/>
        </w:rPr>
        <w:t>1.4. Określenia podstawowe</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1.4.1. Beton asfaltowy </w:t>
      </w:r>
      <w:r w:rsidRPr="006D5243">
        <w:rPr>
          <w:rFonts w:ascii="Times New Roman" w:eastAsiaTheme="minorHAnsi" w:hAnsi="Times New Roman"/>
          <w:sz w:val="24"/>
          <w:szCs w:val="24"/>
          <w:lang w:eastAsia="en-US"/>
        </w:rPr>
        <w:t>- mieszanka mineralno-asfaltowa, w której kruszywo o uziarnieniu ci</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głym lub nieci</w:t>
      </w:r>
      <w:r w:rsidRPr="006D5243">
        <w:rPr>
          <w:rFonts w:ascii="Times New Roman" w:eastAsia="TimesNewRoman" w:hAnsi="Times New Roman"/>
          <w:sz w:val="24"/>
          <w:szCs w:val="24"/>
          <w:lang w:eastAsia="en-US"/>
        </w:rPr>
        <w:t>ą</w:t>
      </w:r>
      <w:r>
        <w:rPr>
          <w:rFonts w:ascii="Times New Roman" w:eastAsiaTheme="minorHAnsi" w:hAnsi="Times New Roman"/>
          <w:sz w:val="24"/>
          <w:szCs w:val="24"/>
          <w:lang w:eastAsia="en-US"/>
        </w:rPr>
        <w:t xml:space="preserve">głym tworzy </w:t>
      </w:r>
      <w:r w:rsidRPr="006D5243">
        <w:rPr>
          <w:rFonts w:ascii="Times New Roman" w:eastAsiaTheme="minorHAnsi" w:hAnsi="Times New Roman"/>
          <w:sz w:val="24"/>
          <w:szCs w:val="24"/>
          <w:lang w:eastAsia="en-US"/>
        </w:rPr>
        <w:t>struktur</w:t>
      </w:r>
      <w:r w:rsidRPr="006D5243">
        <w:rPr>
          <w:rFonts w:ascii="Times New Roman" w:eastAsia="TimesNewRoman" w:hAnsi="Times New Roman"/>
          <w:sz w:val="24"/>
          <w:szCs w:val="24"/>
          <w:lang w:eastAsia="en-US"/>
        </w:rPr>
        <w:t xml:space="preserve">ę </w:t>
      </w:r>
      <w:r w:rsidRPr="006D5243">
        <w:rPr>
          <w:rFonts w:ascii="Times New Roman" w:eastAsiaTheme="minorHAnsi" w:hAnsi="Times New Roman"/>
          <w:sz w:val="24"/>
          <w:szCs w:val="24"/>
          <w:lang w:eastAsia="en-US"/>
        </w:rPr>
        <w:t>wzajemnie klinuj</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c</w:t>
      </w:r>
      <w:r w:rsidRPr="006D5243">
        <w:rPr>
          <w:rFonts w:ascii="Times New Roman" w:eastAsia="TimesNewRoman" w:hAnsi="Times New Roman"/>
          <w:sz w:val="24"/>
          <w:szCs w:val="24"/>
          <w:lang w:eastAsia="en-US"/>
        </w:rPr>
        <w:t xml:space="preserve">ą </w:t>
      </w:r>
      <w:r w:rsidRPr="006D5243">
        <w:rPr>
          <w:rFonts w:ascii="Times New Roman" w:eastAsiaTheme="minorHAnsi" w:hAnsi="Times New Roman"/>
          <w:sz w:val="24"/>
          <w:szCs w:val="24"/>
          <w:lang w:eastAsia="en-US"/>
        </w:rPr>
        <w:t>si</w:t>
      </w:r>
      <w:r w:rsidRPr="006D5243">
        <w:rPr>
          <w:rFonts w:ascii="Times New Roman" w:eastAsia="TimesNewRoman" w:hAnsi="Times New Roman"/>
          <w:sz w:val="24"/>
          <w:szCs w:val="24"/>
          <w:lang w:eastAsia="en-US"/>
        </w:rPr>
        <w:t>ę</w:t>
      </w:r>
      <w:r w:rsidRPr="006D5243">
        <w:rPr>
          <w:rFonts w:ascii="Times New Roman" w:eastAsiaTheme="minorHAnsi" w:hAnsi="Times New Roman"/>
          <w:sz w:val="24"/>
          <w:szCs w:val="24"/>
          <w:lang w:eastAsia="en-US"/>
        </w:rPr>
        <w:t>.</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1.4.2. Nawierzchnia </w:t>
      </w:r>
      <w:r w:rsidRPr="006D5243">
        <w:rPr>
          <w:rFonts w:ascii="Times New Roman" w:eastAsiaTheme="minorHAnsi" w:hAnsi="Times New Roman"/>
          <w:sz w:val="24"/>
          <w:szCs w:val="24"/>
          <w:lang w:eastAsia="en-US"/>
        </w:rPr>
        <w:t>– jest to konstrukcja składaj</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ca si</w:t>
      </w:r>
      <w:r w:rsidRPr="006D5243">
        <w:rPr>
          <w:rFonts w:ascii="Times New Roman" w:eastAsia="TimesNewRoman" w:hAnsi="Times New Roman"/>
          <w:sz w:val="24"/>
          <w:szCs w:val="24"/>
          <w:lang w:eastAsia="en-US"/>
        </w:rPr>
        <w:t xml:space="preserve">ę </w:t>
      </w:r>
      <w:r w:rsidRPr="006D5243">
        <w:rPr>
          <w:rFonts w:ascii="Times New Roman" w:eastAsiaTheme="minorHAnsi" w:hAnsi="Times New Roman"/>
          <w:sz w:val="24"/>
          <w:szCs w:val="24"/>
          <w:lang w:eastAsia="en-US"/>
        </w:rPr>
        <w:t>z jednej lub kilku warstw, słu</w:t>
      </w:r>
      <w:r w:rsidRPr="006D5243">
        <w:rPr>
          <w:rFonts w:ascii="Times New Roman" w:eastAsia="TimesNewRoman" w:hAnsi="Times New Roman"/>
          <w:sz w:val="24"/>
          <w:szCs w:val="24"/>
          <w:lang w:eastAsia="en-US"/>
        </w:rPr>
        <w:t>żą</w:t>
      </w:r>
      <w:r w:rsidRPr="006D5243">
        <w:rPr>
          <w:rFonts w:ascii="Times New Roman" w:eastAsiaTheme="minorHAnsi" w:hAnsi="Times New Roman"/>
          <w:sz w:val="24"/>
          <w:szCs w:val="24"/>
          <w:lang w:eastAsia="en-US"/>
        </w:rPr>
        <w:t>cych do przejmowania i rozkładania na</w:t>
      </w:r>
      <w:r>
        <w:rPr>
          <w:rFonts w:ascii="Times New Roman" w:eastAsiaTheme="minorHAnsi" w:hAnsi="Times New Roman"/>
          <w:sz w:val="24"/>
          <w:szCs w:val="24"/>
          <w:lang w:eastAsia="en-US"/>
        </w:rPr>
        <w:t xml:space="preserve"> </w:t>
      </w:r>
      <w:r w:rsidRPr="006D5243">
        <w:rPr>
          <w:rFonts w:ascii="Times New Roman" w:eastAsiaTheme="minorHAnsi" w:hAnsi="Times New Roman"/>
          <w:sz w:val="24"/>
          <w:szCs w:val="24"/>
          <w:lang w:eastAsia="en-US"/>
        </w:rPr>
        <w:t>podło</w:t>
      </w:r>
      <w:r w:rsidRPr="006D5243">
        <w:rPr>
          <w:rFonts w:ascii="Times New Roman" w:eastAsia="TimesNewRoman" w:hAnsi="Times New Roman"/>
          <w:sz w:val="24"/>
          <w:szCs w:val="24"/>
          <w:lang w:eastAsia="en-US"/>
        </w:rPr>
        <w:t>ż</w:t>
      </w:r>
      <w:r w:rsidRPr="006D5243">
        <w:rPr>
          <w:rFonts w:ascii="Times New Roman" w:eastAsiaTheme="minorHAnsi" w:hAnsi="Times New Roman"/>
          <w:sz w:val="24"/>
          <w:szCs w:val="24"/>
          <w:lang w:eastAsia="en-US"/>
        </w:rPr>
        <w:t>e obci</w:t>
      </w:r>
      <w:r w:rsidRPr="006D5243">
        <w:rPr>
          <w:rFonts w:ascii="Times New Roman" w:eastAsia="TimesNewRoman" w:hAnsi="Times New Roman"/>
          <w:sz w:val="24"/>
          <w:szCs w:val="24"/>
          <w:lang w:eastAsia="en-US"/>
        </w:rPr>
        <w:t>ąż</w:t>
      </w:r>
      <w:r w:rsidRPr="006D5243">
        <w:rPr>
          <w:rFonts w:ascii="Times New Roman" w:eastAsiaTheme="minorHAnsi" w:hAnsi="Times New Roman"/>
          <w:sz w:val="24"/>
          <w:szCs w:val="24"/>
          <w:lang w:eastAsia="en-US"/>
        </w:rPr>
        <w:t>e</w:t>
      </w:r>
      <w:r w:rsidRPr="006D5243">
        <w:rPr>
          <w:rFonts w:ascii="Times New Roman" w:eastAsia="TimesNewRoman" w:hAnsi="Times New Roman"/>
          <w:sz w:val="24"/>
          <w:szCs w:val="24"/>
          <w:lang w:eastAsia="en-US"/>
        </w:rPr>
        <w:t xml:space="preserve">ń </w:t>
      </w:r>
      <w:r w:rsidRPr="006D5243">
        <w:rPr>
          <w:rFonts w:ascii="Times New Roman" w:eastAsiaTheme="minorHAnsi" w:hAnsi="Times New Roman"/>
          <w:sz w:val="24"/>
          <w:szCs w:val="24"/>
          <w:lang w:eastAsia="en-US"/>
        </w:rPr>
        <w:t>od ruchu pojazdów.</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1.4.3. Warstwa technologiczna </w:t>
      </w:r>
      <w:r w:rsidRPr="006D5243">
        <w:rPr>
          <w:rFonts w:ascii="Times New Roman" w:eastAsiaTheme="minorHAnsi" w:hAnsi="Times New Roman"/>
          <w:sz w:val="24"/>
          <w:szCs w:val="24"/>
          <w:lang w:eastAsia="en-US"/>
        </w:rPr>
        <w:t>– jest to konstrukcyjny</w:t>
      </w:r>
      <w:r>
        <w:rPr>
          <w:rFonts w:ascii="Times New Roman" w:eastAsiaTheme="minorHAnsi" w:hAnsi="Times New Roman"/>
          <w:sz w:val="24"/>
          <w:szCs w:val="24"/>
          <w:lang w:eastAsia="en-US"/>
        </w:rPr>
        <w:t xml:space="preserve"> element nawierzchni układany w </w:t>
      </w:r>
      <w:r w:rsidRPr="006D5243">
        <w:rPr>
          <w:rFonts w:ascii="Times New Roman" w:eastAsiaTheme="minorHAnsi" w:hAnsi="Times New Roman"/>
          <w:sz w:val="24"/>
          <w:szCs w:val="24"/>
          <w:lang w:eastAsia="en-US"/>
        </w:rPr>
        <w:t>pojedynczej operacji.</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1.4.4. Warstwa </w:t>
      </w:r>
      <w:r w:rsidRPr="006D5243">
        <w:rPr>
          <w:rFonts w:ascii="Times New Roman" w:eastAsiaTheme="minorHAnsi" w:hAnsi="Times New Roman"/>
          <w:sz w:val="24"/>
          <w:szCs w:val="24"/>
          <w:lang w:eastAsia="en-US"/>
        </w:rPr>
        <w:t>– jest to element konstrukcji nawierzchni zbudowany z jednego materiału, który mo</w:t>
      </w:r>
      <w:r w:rsidRPr="006D5243">
        <w:rPr>
          <w:rFonts w:ascii="Times New Roman" w:eastAsia="TimesNewRoman" w:hAnsi="Times New Roman"/>
          <w:sz w:val="24"/>
          <w:szCs w:val="24"/>
          <w:lang w:eastAsia="en-US"/>
        </w:rPr>
        <w:t>ż</w:t>
      </w:r>
      <w:r w:rsidRPr="006D5243">
        <w:rPr>
          <w:rFonts w:ascii="Times New Roman" w:eastAsiaTheme="minorHAnsi" w:hAnsi="Times New Roman"/>
          <w:sz w:val="24"/>
          <w:szCs w:val="24"/>
          <w:lang w:eastAsia="en-US"/>
        </w:rPr>
        <w:t>e składa</w:t>
      </w:r>
      <w:r w:rsidRPr="006D5243">
        <w:rPr>
          <w:rFonts w:ascii="Times New Roman" w:eastAsia="TimesNewRoman" w:hAnsi="Times New Roman"/>
          <w:sz w:val="24"/>
          <w:szCs w:val="24"/>
          <w:lang w:eastAsia="en-US"/>
        </w:rPr>
        <w:t xml:space="preserve">ć </w:t>
      </w:r>
      <w:r w:rsidRPr="006D5243">
        <w:rPr>
          <w:rFonts w:ascii="Times New Roman" w:eastAsiaTheme="minorHAnsi" w:hAnsi="Times New Roman"/>
          <w:sz w:val="24"/>
          <w:szCs w:val="24"/>
          <w:lang w:eastAsia="en-US"/>
        </w:rPr>
        <w:t>si</w:t>
      </w:r>
      <w:r w:rsidRPr="006D5243">
        <w:rPr>
          <w:rFonts w:ascii="Times New Roman" w:eastAsia="TimesNewRoman" w:hAnsi="Times New Roman"/>
          <w:sz w:val="24"/>
          <w:szCs w:val="24"/>
          <w:lang w:eastAsia="en-US"/>
        </w:rPr>
        <w:t xml:space="preserve">ę </w:t>
      </w:r>
      <w:r w:rsidRPr="006D5243">
        <w:rPr>
          <w:rFonts w:ascii="Times New Roman" w:eastAsiaTheme="minorHAnsi" w:hAnsi="Times New Roman"/>
          <w:sz w:val="24"/>
          <w:szCs w:val="24"/>
          <w:lang w:eastAsia="en-US"/>
        </w:rPr>
        <w:t>z jednej lub</w:t>
      </w:r>
      <w:r>
        <w:rPr>
          <w:rFonts w:ascii="Times New Roman" w:eastAsiaTheme="minorHAnsi" w:hAnsi="Times New Roman"/>
          <w:sz w:val="24"/>
          <w:szCs w:val="24"/>
          <w:lang w:eastAsia="en-US"/>
        </w:rPr>
        <w:t xml:space="preserve"> </w:t>
      </w:r>
      <w:r w:rsidRPr="006D5243">
        <w:rPr>
          <w:rFonts w:ascii="Times New Roman" w:eastAsiaTheme="minorHAnsi" w:hAnsi="Times New Roman"/>
          <w:sz w:val="24"/>
          <w:szCs w:val="24"/>
          <w:lang w:eastAsia="en-US"/>
        </w:rPr>
        <w:t>wielu warstw technologicznych.</w:t>
      </w:r>
    </w:p>
    <w:p w:rsidR="00C318BA"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1.4.5. Warstwa ścieralna </w:t>
      </w:r>
      <w:r w:rsidRPr="006D5243">
        <w:rPr>
          <w:rFonts w:ascii="Times New Roman" w:eastAsiaTheme="minorHAnsi" w:hAnsi="Times New Roman"/>
          <w:sz w:val="24"/>
          <w:szCs w:val="24"/>
          <w:lang w:eastAsia="en-US"/>
        </w:rPr>
        <w:t>– jest to górna warstwa nawierzchni b</w:t>
      </w:r>
      <w:r w:rsidRPr="006D5243">
        <w:rPr>
          <w:rFonts w:ascii="Times New Roman" w:eastAsia="TimesNewRoman" w:hAnsi="Times New Roman"/>
          <w:sz w:val="24"/>
          <w:szCs w:val="24"/>
          <w:lang w:eastAsia="en-US"/>
        </w:rPr>
        <w:t>ę</w:t>
      </w:r>
      <w:r w:rsidRPr="006D5243">
        <w:rPr>
          <w:rFonts w:ascii="Times New Roman" w:eastAsiaTheme="minorHAnsi" w:hAnsi="Times New Roman"/>
          <w:sz w:val="24"/>
          <w:szCs w:val="24"/>
          <w:lang w:eastAsia="en-US"/>
        </w:rPr>
        <w:t>d</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ca w bezpo</w:t>
      </w:r>
      <w:r w:rsidRPr="006D5243">
        <w:rPr>
          <w:rFonts w:ascii="Times New Roman" w:eastAsia="TimesNewRoman" w:hAnsi="Times New Roman"/>
          <w:sz w:val="24"/>
          <w:szCs w:val="24"/>
          <w:lang w:eastAsia="en-US"/>
        </w:rPr>
        <w:t>ś</w:t>
      </w:r>
      <w:r w:rsidRPr="006D5243">
        <w:rPr>
          <w:rFonts w:ascii="Times New Roman" w:eastAsiaTheme="minorHAnsi" w:hAnsi="Times New Roman"/>
          <w:sz w:val="24"/>
          <w:szCs w:val="24"/>
          <w:lang w:eastAsia="en-US"/>
        </w:rPr>
        <w:t>rednim kontakcie z kołami pojazdów.</w:t>
      </w:r>
    </w:p>
    <w:p w:rsidR="00BC5B4C" w:rsidRDefault="00BC5B4C"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Pr>
          <w:rFonts w:ascii="Times New Roman" w:eastAsiaTheme="minorHAnsi" w:hAnsi="Times New Roman"/>
          <w:b/>
          <w:bCs/>
          <w:i/>
          <w:iCs/>
          <w:sz w:val="24"/>
          <w:szCs w:val="24"/>
          <w:lang w:eastAsia="en-US"/>
        </w:rPr>
        <w:t>1.4.6. Warstwa wiążąca</w:t>
      </w:r>
      <w:r w:rsidRPr="006D5243">
        <w:rPr>
          <w:rFonts w:ascii="Times New Roman" w:eastAsiaTheme="minorHAnsi" w:hAnsi="Times New Roman"/>
          <w:b/>
          <w:bCs/>
          <w:i/>
          <w:iCs/>
          <w:sz w:val="24"/>
          <w:szCs w:val="24"/>
          <w:lang w:eastAsia="en-US"/>
        </w:rPr>
        <w:t xml:space="preserve"> </w:t>
      </w:r>
      <w:r w:rsidRPr="006D5243">
        <w:rPr>
          <w:rFonts w:ascii="Times New Roman" w:eastAsiaTheme="minorHAnsi" w:hAnsi="Times New Roman"/>
          <w:sz w:val="24"/>
          <w:szCs w:val="24"/>
          <w:lang w:eastAsia="en-US"/>
        </w:rPr>
        <w:t xml:space="preserve">– jest to warstwa nawierzchni </w:t>
      </w:r>
      <w:r>
        <w:rPr>
          <w:rFonts w:ascii="Times New Roman" w:eastAsiaTheme="minorHAnsi" w:hAnsi="Times New Roman"/>
          <w:sz w:val="24"/>
          <w:szCs w:val="24"/>
          <w:lang w:eastAsia="en-US"/>
        </w:rPr>
        <w:t>między warstwą ścieralną a podbudową.</w:t>
      </w:r>
    </w:p>
    <w:p w:rsidR="00BC5B4C" w:rsidRDefault="00BC5B4C"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Pr>
          <w:rFonts w:ascii="Times New Roman" w:eastAsiaTheme="minorHAnsi" w:hAnsi="Times New Roman"/>
          <w:b/>
          <w:bCs/>
          <w:i/>
          <w:iCs/>
          <w:sz w:val="24"/>
          <w:szCs w:val="24"/>
          <w:lang w:eastAsia="en-US"/>
        </w:rPr>
        <w:t>1.4.7. Warstwa wyrównawcza</w:t>
      </w:r>
      <w:r w:rsidRPr="006D5243">
        <w:rPr>
          <w:rFonts w:ascii="Times New Roman" w:eastAsiaTheme="minorHAnsi" w:hAnsi="Times New Roman"/>
          <w:b/>
          <w:bCs/>
          <w:i/>
          <w:iCs/>
          <w:sz w:val="24"/>
          <w:szCs w:val="24"/>
          <w:lang w:eastAsia="en-US"/>
        </w:rPr>
        <w:t xml:space="preserve"> </w:t>
      </w:r>
      <w:r w:rsidRPr="006D5243">
        <w:rPr>
          <w:rFonts w:ascii="Times New Roman" w:eastAsiaTheme="minorHAnsi" w:hAnsi="Times New Roman"/>
          <w:sz w:val="24"/>
          <w:szCs w:val="24"/>
          <w:lang w:eastAsia="en-US"/>
        </w:rPr>
        <w:t xml:space="preserve">– jest to warstwa </w:t>
      </w:r>
      <w:r>
        <w:rPr>
          <w:rFonts w:ascii="Times New Roman" w:eastAsiaTheme="minorHAnsi" w:hAnsi="Times New Roman"/>
          <w:sz w:val="24"/>
          <w:szCs w:val="24"/>
          <w:lang w:eastAsia="en-US"/>
        </w:rPr>
        <w:t xml:space="preserve">o zmiennej grubości, ułożona na istniejącej </w:t>
      </w:r>
      <w:r w:rsidRPr="006D5243">
        <w:rPr>
          <w:rFonts w:ascii="Times New Roman" w:eastAsiaTheme="minorHAnsi" w:hAnsi="Times New Roman"/>
          <w:sz w:val="24"/>
          <w:szCs w:val="24"/>
          <w:lang w:eastAsia="en-US"/>
        </w:rPr>
        <w:t xml:space="preserve">nawierzchni </w:t>
      </w:r>
      <w:r>
        <w:rPr>
          <w:rFonts w:ascii="Times New Roman" w:eastAsiaTheme="minorHAnsi" w:hAnsi="Times New Roman"/>
          <w:sz w:val="24"/>
          <w:szCs w:val="24"/>
          <w:lang w:eastAsia="en-US"/>
        </w:rPr>
        <w:t>w celu uzyskania odpowiedniego profilu potrzebnego do ułożenia kolejnej warstwy</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sz w:val="24"/>
          <w:szCs w:val="24"/>
          <w:lang w:eastAsia="en-US"/>
        </w:rPr>
        <w:t>Pozostałe okre</w:t>
      </w:r>
      <w:r w:rsidRPr="006D5243">
        <w:rPr>
          <w:rFonts w:ascii="Times New Roman" w:eastAsia="TimesNewRoman" w:hAnsi="Times New Roman"/>
          <w:sz w:val="24"/>
          <w:szCs w:val="24"/>
          <w:lang w:eastAsia="en-US"/>
        </w:rPr>
        <w:t>ś</w:t>
      </w:r>
      <w:r w:rsidRPr="006D5243">
        <w:rPr>
          <w:rFonts w:ascii="Times New Roman" w:eastAsiaTheme="minorHAnsi" w:hAnsi="Times New Roman"/>
          <w:sz w:val="24"/>
          <w:szCs w:val="24"/>
          <w:lang w:eastAsia="en-US"/>
        </w:rPr>
        <w:t>lenia s</w:t>
      </w:r>
      <w:r w:rsidRPr="006D5243">
        <w:rPr>
          <w:rFonts w:ascii="Times New Roman" w:eastAsia="TimesNewRoman" w:hAnsi="Times New Roman"/>
          <w:sz w:val="24"/>
          <w:szCs w:val="24"/>
          <w:lang w:eastAsia="en-US"/>
        </w:rPr>
        <w:t xml:space="preserve">ą </w:t>
      </w:r>
      <w:r w:rsidRPr="006D5243">
        <w:rPr>
          <w:rFonts w:ascii="Times New Roman" w:eastAsiaTheme="minorHAnsi" w:hAnsi="Times New Roman"/>
          <w:sz w:val="24"/>
          <w:szCs w:val="24"/>
          <w:lang w:eastAsia="en-US"/>
        </w:rPr>
        <w:t>zgodne z obowi</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zuj</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 xml:space="preserve">cymi, </w:t>
      </w:r>
      <w:r>
        <w:rPr>
          <w:rFonts w:ascii="Times New Roman" w:eastAsiaTheme="minorHAnsi" w:hAnsi="Times New Roman"/>
          <w:sz w:val="24"/>
          <w:szCs w:val="24"/>
          <w:lang w:eastAsia="en-US"/>
        </w:rPr>
        <w:t>odpowiednimi polskimi normami i </w:t>
      </w:r>
      <w:r w:rsidRPr="006D5243">
        <w:rPr>
          <w:rFonts w:ascii="Times New Roman" w:eastAsiaTheme="minorHAnsi" w:hAnsi="Times New Roman"/>
          <w:sz w:val="24"/>
          <w:szCs w:val="24"/>
          <w:lang w:eastAsia="en-US"/>
        </w:rPr>
        <w:t>definicjami podanymi w SST D.M.00.00.00 „Wymagania ogólne"</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1.5.  Wymagania ogólne dotyczące robót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Wykonawca robót jest odpowiedzialny za jakość i</w:t>
      </w:r>
      <w:r>
        <w:rPr>
          <w:rFonts w:ascii="Times New Roman" w:hAnsi="Times New Roman"/>
          <w:color w:val="000000"/>
          <w:sz w:val="24"/>
          <w:szCs w:val="24"/>
        </w:rPr>
        <w:t>ch wykonania oraz za zgodność z </w:t>
      </w:r>
      <w:r w:rsidRPr="00536809">
        <w:rPr>
          <w:rFonts w:ascii="Times New Roman" w:hAnsi="Times New Roman"/>
          <w:color w:val="000000"/>
          <w:sz w:val="24"/>
          <w:szCs w:val="24"/>
        </w:rPr>
        <w:t xml:space="preserve">Dokumentacją Projektową, SST i poleceniami Inspektora Nadzoru.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Wymagania ogólne dotyczące robót podano w SST D.M.00.00.00 „Wymagania ogólne”. </w:t>
      </w:r>
    </w:p>
    <w:p w:rsidR="00C318BA" w:rsidRDefault="00C318BA" w:rsidP="00C318BA">
      <w:pPr>
        <w:widowControl w:val="0"/>
        <w:autoSpaceDE w:val="0"/>
        <w:autoSpaceDN w:val="0"/>
        <w:adjustRightInd w:val="0"/>
        <w:spacing w:before="120" w:after="120" w:line="240" w:lineRule="auto"/>
        <w:jc w:val="both"/>
        <w:rPr>
          <w:rFonts w:ascii="Times New Roman" w:hAnsi="Times New Roman"/>
          <w:b/>
          <w:bCs/>
          <w:color w:val="000000"/>
          <w:sz w:val="24"/>
          <w:szCs w:val="24"/>
        </w:rPr>
      </w:pPr>
      <w:r>
        <w:rPr>
          <w:rFonts w:ascii="Times New Roman" w:hAnsi="Times New Roman"/>
          <w:b/>
          <w:bCs/>
          <w:color w:val="000000"/>
          <w:sz w:val="24"/>
          <w:szCs w:val="24"/>
        </w:rPr>
        <w:t>2. MATERIAŁY</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2.1.  Warunki ogólne stosowania materiałów </w:t>
      </w:r>
    </w:p>
    <w:p w:rsidR="00C318BA"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536809">
        <w:rPr>
          <w:rFonts w:ascii="Times New Roman" w:hAnsi="Times New Roman"/>
          <w:color w:val="000000"/>
          <w:sz w:val="24"/>
          <w:szCs w:val="24"/>
        </w:rPr>
        <w:lastRenderedPageBreak/>
        <w:t>Warunki ogólne stosowania materiałów podano w SST D.</w:t>
      </w:r>
      <w:r>
        <w:rPr>
          <w:rFonts w:ascii="Times New Roman" w:hAnsi="Times New Roman"/>
          <w:color w:val="000000"/>
          <w:sz w:val="24"/>
          <w:szCs w:val="24"/>
        </w:rPr>
        <w:t>M.00.00.00 „Wymagania ogólne”.</w:t>
      </w:r>
    </w:p>
    <w:p w:rsidR="00117542" w:rsidRDefault="00117542" w:rsidP="00117542">
      <w:pPr>
        <w:widowControl w:val="0"/>
        <w:autoSpaceDE w:val="0"/>
        <w:autoSpaceDN w:val="0"/>
        <w:adjustRightInd w:val="0"/>
        <w:spacing w:before="22" w:after="204" w:line="240" w:lineRule="auto"/>
        <w:rPr>
          <w:rFonts w:ascii="Times New Roman" w:hAnsi="Times New Roman"/>
          <w:b/>
          <w:bCs/>
          <w:color w:val="000000"/>
          <w:sz w:val="24"/>
          <w:szCs w:val="24"/>
        </w:rPr>
      </w:pPr>
      <w:r>
        <w:rPr>
          <w:rFonts w:ascii="Times New Roman" w:hAnsi="Times New Roman"/>
          <w:b/>
          <w:bCs/>
          <w:color w:val="000000"/>
          <w:sz w:val="24"/>
          <w:szCs w:val="24"/>
        </w:rPr>
        <w:t>Tablica 1</w:t>
      </w:r>
      <w:r w:rsidRPr="005A12B6">
        <w:rPr>
          <w:rFonts w:ascii="Times New Roman" w:hAnsi="Times New Roman"/>
          <w:b/>
          <w:bCs/>
          <w:color w:val="000000"/>
          <w:sz w:val="24"/>
          <w:szCs w:val="24"/>
        </w:rPr>
        <w:t xml:space="preserve">.   Materiały do betonu asfaltowego do warstwy </w:t>
      </w:r>
      <w:r>
        <w:rPr>
          <w:rFonts w:ascii="Times New Roman" w:hAnsi="Times New Roman"/>
          <w:b/>
          <w:bCs/>
          <w:color w:val="000000"/>
          <w:sz w:val="24"/>
          <w:szCs w:val="24"/>
        </w:rPr>
        <w:t>wiążącej i wyrównawczej</w:t>
      </w:r>
    </w:p>
    <w:tbl>
      <w:tblPr>
        <w:tblStyle w:val="Tabela-Siatka"/>
        <w:tblW w:w="0" w:type="auto"/>
        <w:tblLook w:val="04A0" w:firstRow="1" w:lastRow="0" w:firstColumn="1" w:lastColumn="0" w:noHBand="0" w:noVBand="1"/>
      </w:tblPr>
      <w:tblGrid>
        <w:gridCol w:w="5070"/>
        <w:gridCol w:w="4222"/>
      </w:tblGrid>
      <w:tr w:rsidR="00117542" w:rsidRPr="000A364C" w:rsidTr="00117542">
        <w:tc>
          <w:tcPr>
            <w:tcW w:w="5070" w:type="dxa"/>
            <w:vMerge w:val="restart"/>
          </w:tcPr>
          <w:p w:rsidR="00117542" w:rsidRPr="000A364C" w:rsidRDefault="00117542" w:rsidP="00117542">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Materiał</w:t>
            </w:r>
          </w:p>
        </w:tc>
        <w:tc>
          <w:tcPr>
            <w:tcW w:w="4222" w:type="dxa"/>
          </w:tcPr>
          <w:p w:rsidR="00117542" w:rsidRPr="000A364C" w:rsidRDefault="00117542" w:rsidP="00117542">
            <w:pPr>
              <w:widowControl w:val="0"/>
              <w:autoSpaceDE w:val="0"/>
              <w:autoSpaceDN w:val="0"/>
              <w:adjustRightInd w:val="0"/>
              <w:jc w:val="center"/>
              <w:rPr>
                <w:rFonts w:ascii="Times New Roman" w:hAnsi="Times New Roman"/>
                <w:b/>
                <w:bCs/>
                <w:color w:val="000000"/>
              </w:rPr>
            </w:pPr>
            <w:r w:rsidRPr="000A364C">
              <w:rPr>
                <w:rFonts w:ascii="Times New Roman" w:hAnsi="Times New Roman"/>
                <w:color w:val="000000"/>
              </w:rPr>
              <w:t>Kategoria ruchu</w:t>
            </w:r>
          </w:p>
        </w:tc>
      </w:tr>
      <w:tr w:rsidR="00117542" w:rsidRPr="000A364C" w:rsidTr="00117542">
        <w:tc>
          <w:tcPr>
            <w:tcW w:w="5070" w:type="dxa"/>
            <w:vMerge/>
          </w:tcPr>
          <w:p w:rsidR="00117542" w:rsidRPr="000A364C" w:rsidRDefault="00117542" w:rsidP="00117542">
            <w:pPr>
              <w:widowControl w:val="0"/>
              <w:autoSpaceDE w:val="0"/>
              <w:autoSpaceDN w:val="0"/>
              <w:adjustRightInd w:val="0"/>
              <w:rPr>
                <w:rFonts w:ascii="Times New Roman" w:hAnsi="Times New Roman"/>
                <w:b/>
                <w:bCs/>
                <w:color w:val="000000"/>
              </w:rPr>
            </w:pPr>
          </w:p>
        </w:tc>
        <w:tc>
          <w:tcPr>
            <w:tcW w:w="4222" w:type="dxa"/>
          </w:tcPr>
          <w:p w:rsidR="00117542" w:rsidRPr="00C318BA" w:rsidRDefault="00117542" w:rsidP="00117542">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KR1 ÷ KR2</w:t>
            </w:r>
          </w:p>
        </w:tc>
      </w:tr>
      <w:tr w:rsidR="00117542" w:rsidRPr="000A364C" w:rsidTr="00117542">
        <w:tc>
          <w:tcPr>
            <w:tcW w:w="5070" w:type="dxa"/>
          </w:tcPr>
          <w:p w:rsidR="00117542" w:rsidRPr="000A364C" w:rsidRDefault="00117542" w:rsidP="00117542">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Mieszanka mineralno- asfaltowa o wymiarze D, [mm]</w:t>
            </w:r>
          </w:p>
        </w:tc>
        <w:tc>
          <w:tcPr>
            <w:tcW w:w="4222" w:type="dxa"/>
          </w:tcPr>
          <w:p w:rsidR="00117542" w:rsidRPr="00C318BA" w:rsidRDefault="00117542" w:rsidP="00117542">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16</w:t>
            </w:r>
          </w:p>
        </w:tc>
      </w:tr>
      <w:tr w:rsidR="00117542" w:rsidRPr="000A364C" w:rsidTr="00117542">
        <w:tc>
          <w:tcPr>
            <w:tcW w:w="5070" w:type="dxa"/>
          </w:tcPr>
          <w:p w:rsidR="00117542" w:rsidRPr="000A364C" w:rsidRDefault="00117542" w:rsidP="00117542">
            <w:pPr>
              <w:widowControl w:val="0"/>
              <w:autoSpaceDE w:val="0"/>
              <w:autoSpaceDN w:val="0"/>
              <w:adjustRightInd w:val="0"/>
              <w:rPr>
                <w:rFonts w:ascii="Times New Roman" w:hAnsi="Times New Roman"/>
                <w:color w:val="000000"/>
              </w:rPr>
            </w:pPr>
            <w:r>
              <w:rPr>
                <w:rFonts w:ascii="Times New Roman" w:hAnsi="Times New Roman"/>
                <w:color w:val="000000"/>
              </w:rPr>
              <w:t>Granulat asfaltowy o wymiarze U [mm]</w:t>
            </w:r>
          </w:p>
        </w:tc>
        <w:tc>
          <w:tcPr>
            <w:tcW w:w="4222" w:type="dxa"/>
          </w:tcPr>
          <w:p w:rsidR="00117542" w:rsidRPr="00C318BA" w:rsidRDefault="00117542" w:rsidP="00117542">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11 lub 16</w:t>
            </w:r>
          </w:p>
        </w:tc>
      </w:tr>
      <w:tr w:rsidR="00117542" w:rsidRPr="000A364C" w:rsidTr="00117542">
        <w:tc>
          <w:tcPr>
            <w:tcW w:w="5070" w:type="dxa"/>
          </w:tcPr>
          <w:p w:rsidR="00117542" w:rsidRPr="000A364C" w:rsidRDefault="00117542" w:rsidP="00117542">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 xml:space="preserve">Lepiszcza asfaltowe </w:t>
            </w:r>
            <w:r w:rsidRPr="000A364C">
              <w:rPr>
                <w:rFonts w:ascii="Times New Roman" w:hAnsi="Times New Roman"/>
                <w:color w:val="000000"/>
                <w:position w:val="10"/>
              </w:rPr>
              <w:t>a)</w:t>
            </w:r>
          </w:p>
        </w:tc>
        <w:tc>
          <w:tcPr>
            <w:tcW w:w="4222" w:type="dxa"/>
          </w:tcPr>
          <w:p w:rsidR="00117542" w:rsidRPr="00C318BA" w:rsidRDefault="00117542" w:rsidP="00117542">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50/70</w:t>
            </w:r>
          </w:p>
        </w:tc>
      </w:tr>
      <w:tr w:rsidR="00117542" w:rsidRPr="000A364C" w:rsidTr="00117542">
        <w:tc>
          <w:tcPr>
            <w:tcW w:w="5070" w:type="dxa"/>
          </w:tcPr>
          <w:p w:rsidR="00117542" w:rsidRPr="000A364C" w:rsidRDefault="00117542" w:rsidP="00117542">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Kruszywa mineralne</w:t>
            </w:r>
          </w:p>
        </w:tc>
        <w:tc>
          <w:tcPr>
            <w:tcW w:w="4222" w:type="dxa"/>
          </w:tcPr>
          <w:p w:rsidR="00117542" w:rsidRPr="000A364C" w:rsidRDefault="00117542" w:rsidP="00117542">
            <w:pPr>
              <w:widowControl w:val="0"/>
              <w:autoSpaceDE w:val="0"/>
              <w:autoSpaceDN w:val="0"/>
              <w:adjustRightInd w:val="0"/>
              <w:rPr>
                <w:rFonts w:ascii="Times New Roman" w:hAnsi="Times New Roman"/>
                <w:b/>
                <w:bCs/>
                <w:color w:val="000000"/>
              </w:rPr>
            </w:pPr>
            <w:r>
              <w:rPr>
                <w:rFonts w:ascii="Times New Roman" w:hAnsi="Times New Roman"/>
                <w:color w:val="000000"/>
              </w:rPr>
              <w:t>Tablice 2, 2a, 2b, 4</w:t>
            </w:r>
            <w:r w:rsidRPr="000A364C">
              <w:rPr>
                <w:rFonts w:ascii="Times New Roman" w:hAnsi="Times New Roman"/>
                <w:color w:val="000000"/>
              </w:rPr>
              <w:t>, WT-1 Kruszywa 2010</w:t>
            </w:r>
          </w:p>
        </w:tc>
      </w:tr>
      <w:tr w:rsidR="00117542" w:rsidRPr="000A364C" w:rsidTr="00117542">
        <w:trPr>
          <w:trHeight w:val="53"/>
        </w:trPr>
        <w:tc>
          <w:tcPr>
            <w:tcW w:w="9292" w:type="dxa"/>
            <w:gridSpan w:val="2"/>
          </w:tcPr>
          <w:p w:rsidR="00117542" w:rsidRPr="000A364C" w:rsidRDefault="00117542" w:rsidP="00117542">
            <w:pPr>
              <w:widowControl w:val="0"/>
              <w:autoSpaceDE w:val="0"/>
              <w:autoSpaceDN w:val="0"/>
              <w:adjustRightInd w:val="0"/>
              <w:rPr>
                <w:rFonts w:ascii="Times New Roman" w:hAnsi="Times New Roman"/>
                <w:b/>
                <w:bCs/>
                <w:color w:val="000000"/>
              </w:rPr>
            </w:pPr>
            <w:r w:rsidRPr="000A364C">
              <w:rPr>
                <w:rFonts w:ascii="Times New Roman" w:hAnsi="Times New Roman"/>
                <w:color w:val="000000"/>
                <w:position w:val="10"/>
              </w:rPr>
              <w:t>a)</w:t>
            </w:r>
            <w:r w:rsidRPr="000A364C">
              <w:rPr>
                <w:rFonts w:ascii="Times New Roman" w:hAnsi="Times New Roman"/>
                <w:color w:val="000000"/>
              </w:rPr>
              <w:t xml:space="preserve"> na podstawie aprobat technicznych mogą być stosowane także inne lepiszcza nienormowe</w:t>
            </w:r>
          </w:p>
        </w:tc>
      </w:tr>
    </w:tbl>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2.2. Kruszywo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Do wytworzenia mieszanki na warstwy nawierzchni z betonu asfaltowego, należy stosować kruszywa mineralne zgodne z wymaganiami PN-EN 13043 i „WT-1 Kruszywa 2010". </w:t>
      </w:r>
    </w:p>
    <w:p w:rsidR="00C318BA" w:rsidRPr="00536809" w:rsidRDefault="00117542"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color w:val="000000"/>
          <w:sz w:val="24"/>
          <w:szCs w:val="24"/>
        </w:rPr>
        <w:t>W tablicach nr 2</w:t>
      </w:r>
      <w:r w:rsidR="00C318BA">
        <w:rPr>
          <w:rFonts w:ascii="Times New Roman" w:hAnsi="Times New Roman"/>
          <w:color w:val="000000"/>
          <w:sz w:val="24"/>
          <w:szCs w:val="24"/>
        </w:rPr>
        <w:t>, 2a, 2b</w:t>
      </w:r>
      <w:r w:rsidR="00C318BA" w:rsidRPr="00536809">
        <w:rPr>
          <w:rFonts w:ascii="Times New Roman" w:hAnsi="Times New Roman"/>
          <w:color w:val="000000"/>
          <w:sz w:val="24"/>
          <w:szCs w:val="24"/>
        </w:rPr>
        <w:t xml:space="preserve"> podano wymagane właściwości kruszywa naturalnego lub sztucznego s</w:t>
      </w:r>
      <w:r w:rsidR="00BC5B4C">
        <w:rPr>
          <w:rFonts w:ascii="Times New Roman" w:hAnsi="Times New Roman"/>
          <w:color w:val="000000"/>
          <w:sz w:val="24"/>
          <w:szCs w:val="24"/>
        </w:rPr>
        <w:t xml:space="preserve">tosowanego do warstwy wiążącej i wyrównawczej </w:t>
      </w:r>
      <w:r w:rsidR="00C318BA" w:rsidRPr="00536809">
        <w:rPr>
          <w:rFonts w:ascii="Times New Roman" w:hAnsi="Times New Roman"/>
          <w:color w:val="000000"/>
          <w:sz w:val="24"/>
          <w:szCs w:val="24"/>
        </w:rPr>
        <w:t xml:space="preserve">z betonu asfaltowego. </w:t>
      </w:r>
    </w:p>
    <w:p w:rsidR="00C318BA" w:rsidRDefault="00C318BA" w:rsidP="00C318BA">
      <w:pPr>
        <w:widowControl w:val="0"/>
        <w:autoSpaceDE w:val="0"/>
        <w:autoSpaceDN w:val="0"/>
        <w:adjustRightInd w:val="0"/>
        <w:spacing w:before="36" w:after="0" w:line="240" w:lineRule="auto"/>
        <w:ind w:left="1410" w:hanging="1410"/>
        <w:jc w:val="both"/>
        <w:rPr>
          <w:rFonts w:ascii="Arial" w:hAnsi="Arial" w:cs="Arial"/>
          <w:sz w:val="24"/>
          <w:szCs w:val="24"/>
        </w:rPr>
      </w:pPr>
      <w:r>
        <w:rPr>
          <w:rFonts w:ascii="Times New Roman" w:hAnsi="Times New Roman"/>
          <w:b/>
          <w:bCs/>
          <w:color w:val="000000"/>
          <w:sz w:val="24"/>
          <w:szCs w:val="24"/>
        </w:rPr>
        <w:t>Tablica 1.</w:t>
      </w:r>
      <w:r>
        <w:rPr>
          <w:rFonts w:ascii="Times New Roman" w:hAnsi="Times New Roman"/>
          <w:b/>
          <w:bCs/>
          <w:color w:val="000000"/>
          <w:sz w:val="24"/>
          <w:szCs w:val="24"/>
        </w:rPr>
        <w:tab/>
      </w:r>
      <w:r w:rsidRPr="00536809">
        <w:rPr>
          <w:rFonts w:ascii="Times New Roman" w:hAnsi="Times New Roman"/>
          <w:b/>
          <w:bCs/>
          <w:color w:val="000000"/>
          <w:sz w:val="24"/>
          <w:szCs w:val="24"/>
        </w:rPr>
        <w:t>Wymagane właściwości kruszy</w:t>
      </w:r>
      <w:r w:rsidR="00BC5B4C">
        <w:rPr>
          <w:rFonts w:ascii="Times New Roman" w:hAnsi="Times New Roman"/>
          <w:b/>
          <w:bCs/>
          <w:color w:val="000000"/>
          <w:sz w:val="24"/>
          <w:szCs w:val="24"/>
        </w:rPr>
        <w:t>w</w:t>
      </w:r>
      <w:r w:rsidR="00493DA2">
        <w:rPr>
          <w:rFonts w:ascii="Times New Roman" w:hAnsi="Times New Roman"/>
          <w:b/>
          <w:bCs/>
          <w:color w:val="000000"/>
          <w:sz w:val="24"/>
          <w:szCs w:val="24"/>
        </w:rPr>
        <w:t>a grubego do warstwy wiążącej i </w:t>
      </w:r>
      <w:r w:rsidR="00BC5B4C">
        <w:rPr>
          <w:rFonts w:ascii="Times New Roman" w:hAnsi="Times New Roman"/>
          <w:b/>
          <w:bCs/>
          <w:color w:val="000000"/>
          <w:sz w:val="24"/>
          <w:szCs w:val="24"/>
        </w:rPr>
        <w:t>wyrównawczej</w:t>
      </w:r>
      <w:r w:rsidRPr="00536809">
        <w:rPr>
          <w:rFonts w:ascii="Times New Roman" w:hAnsi="Times New Roman"/>
          <w:b/>
          <w:bCs/>
          <w:color w:val="000000"/>
          <w:sz w:val="24"/>
          <w:szCs w:val="24"/>
        </w:rPr>
        <w:t xml:space="preserve"> z betonu asfaltowego</w:t>
      </w:r>
    </w:p>
    <w:tbl>
      <w:tblPr>
        <w:tblW w:w="79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3543"/>
      </w:tblGrid>
      <w:tr w:rsidR="00C318BA" w:rsidRPr="00F51F3B" w:rsidTr="00C318BA">
        <w:trPr>
          <w:cantSplit/>
        </w:trPr>
        <w:tc>
          <w:tcPr>
            <w:tcW w:w="4395" w:type="dxa"/>
            <w:vMerge w:val="restart"/>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Właściwości kruszywa</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Wymagania w zależności od </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kategorii ruchu</w:t>
            </w:r>
          </w:p>
        </w:tc>
      </w:tr>
      <w:tr w:rsidR="00C318BA" w:rsidRPr="00F51F3B" w:rsidTr="00C318BA">
        <w:trPr>
          <w:cantSplit/>
          <w:trHeight w:val="53"/>
        </w:trPr>
        <w:tc>
          <w:tcPr>
            <w:tcW w:w="4395" w:type="dxa"/>
            <w:vMerge/>
          </w:tcPr>
          <w:p w:rsidR="00C318BA" w:rsidRPr="00F51F3B" w:rsidRDefault="00C318BA" w:rsidP="00C318BA">
            <w:pPr>
              <w:spacing w:after="0" w:line="240" w:lineRule="auto"/>
              <w:jc w:val="center"/>
              <w:rPr>
                <w:rFonts w:ascii="Times New Roman" w:hAnsi="Times New Roman"/>
              </w:rPr>
            </w:pP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KR1-KR2</w:t>
            </w:r>
          </w:p>
        </w:tc>
      </w:tr>
      <w:tr w:rsidR="00C318BA" w:rsidRPr="00F51F3B" w:rsidTr="00C318BA">
        <w:trPr>
          <w:trHeight w:val="375"/>
        </w:trPr>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Uziarnienie według PN-EN 933-1; kategoria nie niższa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C</w:t>
            </w:r>
            <w:r w:rsidRPr="00F51F3B">
              <w:rPr>
                <w:rFonts w:ascii="Times New Roman" w:hAnsi="Times New Roman"/>
              </w:rPr>
              <w:t>85/20</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Tolerancja uziarnienia, odchylenia nie większe niż według kategorii:</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20/</w:t>
            </w:r>
            <w:r w:rsidR="00BC5B4C">
              <w:rPr>
                <w:rFonts w:ascii="Times New Roman" w:hAnsi="Times New Roman"/>
                <w:vertAlign w:val="subscript"/>
              </w:rPr>
              <w:t>17,5</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 xml:space="preserve">Zawartość pyłów według PN-EN 933-1; kategoria nie wyższa niż </w:t>
            </w:r>
          </w:p>
        </w:tc>
        <w:tc>
          <w:tcPr>
            <w:tcW w:w="3543" w:type="dxa"/>
          </w:tcPr>
          <w:p w:rsidR="00C318BA" w:rsidRPr="00F51F3B" w:rsidRDefault="00C318BA" w:rsidP="00C318BA">
            <w:pPr>
              <w:spacing w:after="0" w:line="240" w:lineRule="auto"/>
              <w:jc w:val="center"/>
              <w:rPr>
                <w:rFonts w:ascii="Times New Roman" w:hAnsi="Times New Roman"/>
                <w:vertAlign w:val="subscript"/>
              </w:rPr>
            </w:pPr>
            <w:r w:rsidRPr="00F51F3B">
              <w:rPr>
                <w:rFonts w:ascii="Times New Roman" w:hAnsi="Times New Roman"/>
              </w:rPr>
              <w:t>ƒ</w:t>
            </w:r>
            <w:r w:rsidRPr="00F51F3B">
              <w:rPr>
                <w:rFonts w:ascii="Times New Roman" w:hAnsi="Times New Roman"/>
                <w:vertAlign w:val="subscript"/>
              </w:rPr>
              <w:t>2</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Kształt kruszywa według PN-EN 933-3 lub według PN-EN 933-4; kategoria nie wyższa niż:</w:t>
            </w:r>
          </w:p>
        </w:tc>
        <w:tc>
          <w:tcPr>
            <w:tcW w:w="3543" w:type="dxa"/>
          </w:tcPr>
          <w:p w:rsidR="00C318BA" w:rsidRPr="00F51F3B" w:rsidRDefault="00C318BA" w:rsidP="00C318BA">
            <w:pPr>
              <w:spacing w:after="0" w:line="240" w:lineRule="auto"/>
              <w:jc w:val="center"/>
              <w:rPr>
                <w:rFonts w:ascii="Times New Roman" w:hAnsi="Times New Roman"/>
                <w:vertAlign w:val="subscript"/>
              </w:rPr>
            </w:pPr>
            <w:r w:rsidRPr="00F51F3B">
              <w:rPr>
                <w:rFonts w:ascii="Times New Roman" w:hAnsi="Times New Roman"/>
                <w:i/>
              </w:rPr>
              <w:t>FI</w:t>
            </w:r>
            <w:r w:rsidR="00BC5B4C">
              <w:rPr>
                <w:rFonts w:ascii="Times New Roman" w:hAnsi="Times New Roman"/>
                <w:vertAlign w:val="subscript"/>
              </w:rPr>
              <w:t>3</w:t>
            </w:r>
            <w:r w:rsidRPr="00F51F3B">
              <w:rPr>
                <w:rFonts w:ascii="Times New Roman" w:hAnsi="Times New Roman"/>
                <w:vertAlign w:val="subscript"/>
              </w:rPr>
              <w:t>5</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lub </w:t>
            </w:r>
            <w:r w:rsidRPr="00F51F3B">
              <w:rPr>
                <w:rFonts w:ascii="Times New Roman" w:hAnsi="Times New Roman"/>
                <w:i/>
              </w:rPr>
              <w:t>SI</w:t>
            </w:r>
            <w:r w:rsidR="00BC5B4C">
              <w:rPr>
                <w:rFonts w:ascii="Times New Roman" w:hAnsi="Times New Roman"/>
                <w:vertAlign w:val="subscript"/>
              </w:rPr>
              <w:t>3</w:t>
            </w:r>
            <w:r w:rsidRPr="00F51F3B">
              <w:rPr>
                <w:rFonts w:ascii="Times New Roman" w:hAnsi="Times New Roman"/>
                <w:vertAlign w:val="subscript"/>
              </w:rPr>
              <w:t>5</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 xml:space="preserve">Procentowa zawartość ziaren o powierzchni </w:t>
            </w:r>
            <w:proofErr w:type="spellStart"/>
            <w:r w:rsidRPr="00F51F3B">
              <w:rPr>
                <w:rFonts w:ascii="Times New Roman" w:hAnsi="Times New Roman"/>
              </w:rPr>
              <w:t>przekruszonej</w:t>
            </w:r>
            <w:proofErr w:type="spellEnd"/>
            <w:r w:rsidRPr="00F51F3B">
              <w:rPr>
                <w:rFonts w:ascii="Times New Roman" w:hAnsi="Times New Roman"/>
              </w:rPr>
              <w:t xml:space="preserve"> i łamanej w kruszywie grubym według PN-EN 933-5; kategoria nie niższa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C</w:t>
            </w:r>
            <w:r w:rsidRPr="00F51F3B">
              <w:rPr>
                <w:rFonts w:ascii="Times New Roman" w:hAnsi="Times New Roman"/>
                <w:vertAlign w:val="subscript"/>
              </w:rPr>
              <w:t>NR</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Odporność kruszywa na rozdrabnianie według normy PN-EN 1097-2, rozdział 5; badana na kruszywie o wymiarze 10/14, kategoria nie wyższa niż:</w:t>
            </w:r>
          </w:p>
        </w:tc>
        <w:tc>
          <w:tcPr>
            <w:tcW w:w="3543" w:type="dxa"/>
          </w:tcPr>
          <w:p w:rsidR="00C318BA" w:rsidRPr="00F51F3B" w:rsidRDefault="00C318BA" w:rsidP="00C318BA">
            <w:pPr>
              <w:spacing w:after="0" w:line="240" w:lineRule="auto"/>
              <w:rPr>
                <w:rFonts w:ascii="Times New Roman" w:hAnsi="Times New Roman"/>
                <w:i/>
              </w:rPr>
            </w:pPr>
          </w:p>
          <w:p w:rsidR="00C318BA" w:rsidRPr="00F51F3B" w:rsidRDefault="00C318BA" w:rsidP="00C318BA">
            <w:pPr>
              <w:spacing w:after="0" w:line="240" w:lineRule="auto"/>
              <w:jc w:val="center"/>
              <w:rPr>
                <w:rFonts w:ascii="Times New Roman" w:hAnsi="Times New Roman"/>
                <w:vertAlign w:val="subscript"/>
              </w:rPr>
            </w:pPr>
            <w:r w:rsidRPr="00F51F3B">
              <w:rPr>
                <w:rFonts w:ascii="Times New Roman" w:hAnsi="Times New Roman"/>
                <w:i/>
              </w:rPr>
              <w:t>LA</w:t>
            </w:r>
            <w:r w:rsidRPr="00F51F3B">
              <w:rPr>
                <w:rFonts w:ascii="Times New Roman" w:hAnsi="Times New Roman"/>
                <w:vertAlign w:val="subscript"/>
              </w:rPr>
              <w:t>3</w:t>
            </w:r>
            <w:r w:rsidR="00BC5B4C">
              <w:rPr>
                <w:rFonts w:ascii="Times New Roman" w:hAnsi="Times New Roman"/>
                <w:vertAlign w:val="subscript"/>
              </w:rPr>
              <w:t>5</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Gęstość ziaren według PN-EN 1097-6, rozdz. 7, 8 lub 9:</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Nasiąkliwość ziaren według PN-EN 1097-6, rozdz. 7, 8 lub 9:</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Gęstość nasypowa według normy PN-EN 1097-3:</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Mr</w:t>
            </w:r>
            <w:r>
              <w:rPr>
                <w:rFonts w:ascii="Times New Roman" w:hAnsi="Times New Roman"/>
              </w:rPr>
              <w:t>ozoodporność według PN-EN 1367-1</w:t>
            </w:r>
            <w:r w:rsidRPr="00F51F3B">
              <w:rPr>
                <w:rFonts w:ascii="Times New Roman" w:hAnsi="Times New Roman"/>
              </w:rPr>
              <w:t xml:space="preserve"> badana na kruszywie o wymiarze 8/11, 11/16 lu</w:t>
            </w:r>
            <w:r>
              <w:rPr>
                <w:rFonts w:ascii="Times New Roman" w:hAnsi="Times New Roman"/>
              </w:rPr>
              <w:t>b 8/16</w:t>
            </w:r>
            <w:r w:rsidRPr="00F51F3B">
              <w:rPr>
                <w:rFonts w:ascii="Times New Roman" w:hAnsi="Times New Roman"/>
              </w:rPr>
              <w:t>, kategoria nie wyższa niż:</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i/>
              </w:rPr>
              <w:t>F</w:t>
            </w:r>
            <w:r>
              <w:rPr>
                <w:rFonts w:ascii="Times New Roman" w:hAnsi="Times New Roman"/>
                <w:vertAlign w:val="subscript"/>
              </w:rPr>
              <w:t>2</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„Zgorzel słoneczna” bazaltu według PN-EN 1367-3, wymagana kategoria:</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i/>
              </w:rPr>
              <w:t>SB</w:t>
            </w:r>
            <w:r w:rsidRPr="00F51F3B">
              <w:rPr>
                <w:rFonts w:ascii="Times New Roman" w:hAnsi="Times New Roman"/>
                <w:vertAlign w:val="subscript"/>
              </w:rPr>
              <w:t>LA</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Skład chemiczny – uproszczony opis petrograficzny według PN-EN 932-3:</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rPr>
              <w:t>deklarowany przez producenta</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Grube zanieczyszczenia lekkie, według PN-EN 1744-1 p.14.2; kategoria nie wyższa niż:</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i/>
              </w:rPr>
              <w:t>m</w:t>
            </w:r>
            <w:r w:rsidRPr="00F51F3B">
              <w:rPr>
                <w:rFonts w:ascii="Times New Roman" w:hAnsi="Times New Roman"/>
                <w:vertAlign w:val="subscript"/>
              </w:rPr>
              <w:t>LPC</w:t>
            </w:r>
            <w:r w:rsidRPr="00F51F3B">
              <w:rPr>
                <w:rFonts w:ascii="Times New Roman" w:hAnsi="Times New Roman"/>
              </w:rPr>
              <w:t>0,1</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 xml:space="preserve">Rozpad krzemianu dwuwapniowego w </w:t>
            </w:r>
            <w:r w:rsidRPr="00F51F3B">
              <w:rPr>
                <w:rFonts w:ascii="Times New Roman" w:hAnsi="Times New Roman"/>
              </w:rPr>
              <w:lastRenderedPageBreak/>
              <w:t>kruszywie z żużla wielkopiecowego chłodzonego powietrzem według PN-EN 1744-1 p.19.1:</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rPr>
              <w:lastRenderedPageBreak/>
              <w:t>wymagana odporność</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Rozpad związków żelaza w kruszywie z żużla wielkopiecowego chłodzonego powietrzem według PN-EN 1744-1 p.19.2</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rPr>
              <w:t>wymagana odporność</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Stałość objętości kruszywa z żużla stalowniczego według PN-EN 1744-1, p. 19.3; kategoria nie wyższa niż:</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i/>
              </w:rPr>
              <w:t>V</w:t>
            </w:r>
            <w:r w:rsidRPr="00F51F3B">
              <w:rPr>
                <w:rFonts w:ascii="Times New Roman" w:hAnsi="Times New Roman"/>
                <w:vertAlign w:val="subscript"/>
              </w:rPr>
              <w:t>3,5</w:t>
            </w:r>
          </w:p>
        </w:tc>
      </w:tr>
    </w:tbl>
    <w:p w:rsidR="00C318BA" w:rsidRPr="00C318BA" w:rsidRDefault="00C318BA" w:rsidP="00C318BA">
      <w:pPr>
        <w:spacing w:after="0" w:line="240" w:lineRule="auto"/>
        <w:ind w:left="1080" w:hanging="1080"/>
        <w:jc w:val="both"/>
        <w:rPr>
          <w:rFonts w:ascii="Times New Roman" w:hAnsi="Times New Roman"/>
          <w:b/>
          <w:sz w:val="24"/>
          <w:szCs w:val="24"/>
        </w:rPr>
      </w:pPr>
      <w:r w:rsidRPr="00C318BA">
        <w:rPr>
          <w:rFonts w:ascii="Times New Roman" w:hAnsi="Times New Roman"/>
          <w:b/>
          <w:sz w:val="24"/>
          <w:szCs w:val="24"/>
        </w:rPr>
        <w:t>Tablica 2a.</w:t>
      </w:r>
      <w:r w:rsidRPr="00C318BA">
        <w:rPr>
          <w:rFonts w:ascii="Times New Roman" w:hAnsi="Times New Roman"/>
          <w:b/>
          <w:sz w:val="24"/>
          <w:szCs w:val="24"/>
        </w:rPr>
        <w:tab/>
        <w:t>Wymagane właściwości kruszywa niełamanego drobnego lub o ciągłym uziarnieniu D</w:t>
      </w:r>
      <w:r w:rsidRPr="00C318BA">
        <w:rPr>
          <w:rFonts w:ascii="Times New Roman" w:hAnsi="Times New Roman"/>
          <w:b/>
          <w:sz w:val="24"/>
          <w:szCs w:val="24"/>
        </w:rPr>
        <w:sym w:font="Symbol" w:char="F0A3"/>
      </w:r>
      <w:r w:rsidRPr="00C318BA">
        <w:rPr>
          <w:rFonts w:ascii="Times New Roman" w:hAnsi="Times New Roman"/>
          <w:b/>
          <w:sz w:val="24"/>
          <w:szCs w:val="24"/>
        </w:rPr>
        <w:t xml:space="preserve">8mm do </w:t>
      </w:r>
      <w:r w:rsidRPr="00C318BA">
        <w:rPr>
          <w:rFonts w:ascii="Times New Roman" w:hAnsi="Times New Roman"/>
          <w:b/>
          <w:bCs/>
          <w:sz w:val="24"/>
          <w:szCs w:val="24"/>
        </w:rPr>
        <w:t xml:space="preserve">warstwy </w:t>
      </w:r>
      <w:r w:rsidR="00BC5B4C">
        <w:rPr>
          <w:rFonts w:ascii="Times New Roman" w:hAnsi="Times New Roman"/>
          <w:b/>
          <w:bCs/>
          <w:color w:val="000000"/>
          <w:sz w:val="24"/>
          <w:szCs w:val="24"/>
        </w:rPr>
        <w:t>wiążącej i wyrównawczej</w:t>
      </w:r>
      <w:r w:rsidR="00BC5B4C">
        <w:rPr>
          <w:rFonts w:ascii="Times New Roman" w:hAnsi="Times New Roman"/>
          <w:b/>
          <w:sz w:val="24"/>
          <w:szCs w:val="24"/>
        </w:rPr>
        <w:t xml:space="preserve"> z betonu asfaltowego</w:t>
      </w:r>
    </w:p>
    <w:tbl>
      <w:tblPr>
        <w:tblW w:w="8100" w:type="dxa"/>
        <w:tblInd w:w="108" w:type="dxa"/>
        <w:tblLayout w:type="fixed"/>
        <w:tblLook w:val="01E0" w:firstRow="1" w:lastRow="1" w:firstColumn="1" w:lastColumn="1" w:noHBand="0" w:noVBand="0"/>
      </w:tblPr>
      <w:tblGrid>
        <w:gridCol w:w="4320"/>
        <w:gridCol w:w="3780"/>
      </w:tblGrid>
      <w:tr w:rsidR="00C318BA" w:rsidRPr="00F51F3B" w:rsidTr="00C318BA">
        <w:trPr>
          <w:cantSplit/>
        </w:trPr>
        <w:tc>
          <w:tcPr>
            <w:tcW w:w="4320" w:type="dxa"/>
            <w:vMerge w:val="restart"/>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Właściwości kruszywa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Wymagania w zależności od </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kategorii ruchu</w:t>
            </w:r>
          </w:p>
        </w:tc>
      </w:tr>
      <w:tr w:rsidR="00C318BA" w:rsidRPr="00F51F3B" w:rsidTr="00C318BA">
        <w:trPr>
          <w:cantSplit/>
        </w:trPr>
        <w:tc>
          <w:tcPr>
            <w:tcW w:w="4320" w:type="dxa"/>
            <w:vMerge/>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KR1-KR2</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Uziarnienie według PN-EN 933-1, wymagana kategoria: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F</w:t>
            </w:r>
            <w:r w:rsidRPr="00F51F3B">
              <w:rPr>
                <w:rFonts w:ascii="Times New Roman" w:hAnsi="Times New Roman"/>
              </w:rPr>
              <w:t>85 lub G</w:t>
            </w:r>
            <w:r w:rsidRPr="00F51F3B">
              <w:rPr>
                <w:rFonts w:ascii="Times New Roman" w:hAnsi="Times New Roman"/>
                <w:vertAlign w:val="subscript"/>
              </w:rPr>
              <w:t>A</w:t>
            </w:r>
            <w:r w:rsidRPr="00F51F3B">
              <w:rPr>
                <w:rFonts w:ascii="Times New Roman" w:hAnsi="Times New Roman"/>
              </w:rPr>
              <w:t xml:space="preserve">85 </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Tolerancja uziarnienia; odchylenie nie większe niż według kategorii:</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TC</w:t>
            </w:r>
            <w:r w:rsidRPr="00F51F3B">
              <w:rPr>
                <w:rFonts w:ascii="Times New Roman" w:hAnsi="Times New Roman"/>
              </w:rPr>
              <w:t>NR</w:t>
            </w:r>
          </w:p>
          <w:p w:rsidR="00C318BA" w:rsidRPr="00F51F3B" w:rsidRDefault="00C318BA" w:rsidP="00C318BA">
            <w:pPr>
              <w:spacing w:after="0" w:line="240" w:lineRule="auto"/>
              <w:jc w:val="center"/>
              <w:rPr>
                <w:rFonts w:ascii="Times New Roman" w:hAnsi="Times New Roman"/>
              </w:rPr>
            </w:pP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Zawartość pyłu według PN-EN 933-1;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ƒ</w:t>
            </w:r>
            <w:r w:rsidRPr="00F51F3B">
              <w:rPr>
                <w:rFonts w:ascii="Times New Roman" w:hAnsi="Times New Roman"/>
                <w:vertAlign w:val="subscript"/>
              </w:rPr>
              <w:t>10</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Jakość pyłu według PN-EN 933-9,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MB</w:t>
            </w:r>
            <w:r w:rsidRPr="00F51F3B">
              <w:rPr>
                <w:rFonts w:ascii="Times New Roman" w:hAnsi="Times New Roman"/>
                <w:vertAlign w:val="subscript"/>
              </w:rPr>
              <w:t>F</w:t>
            </w:r>
            <w:r w:rsidRPr="00F51F3B">
              <w:rPr>
                <w:rFonts w:ascii="Times New Roman" w:hAnsi="Times New Roman"/>
              </w:rPr>
              <w:t>10</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Kanciastość kruszywa drobnego lub kruszywa 0/2 wydzielonego z kruszywa o ciągłym uziarnieniu według PN-EN 933-6, rozdz. 8, kategoria nie niższa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proofErr w:type="spellStart"/>
            <w:r w:rsidRPr="00F51F3B">
              <w:rPr>
                <w:rFonts w:ascii="Times New Roman" w:hAnsi="Times New Roman"/>
                <w:i/>
              </w:rPr>
              <w:t>E</w:t>
            </w:r>
            <w:r w:rsidRPr="00F51F3B">
              <w:rPr>
                <w:rFonts w:ascii="Times New Roman" w:hAnsi="Times New Roman"/>
                <w:vertAlign w:val="subscript"/>
              </w:rPr>
              <w:t>csDeklarowana</w:t>
            </w:r>
            <w:proofErr w:type="spellEnd"/>
          </w:p>
          <w:p w:rsidR="00C318BA" w:rsidRPr="00F51F3B" w:rsidRDefault="00C318BA" w:rsidP="00C318BA">
            <w:pPr>
              <w:spacing w:after="0" w:line="240" w:lineRule="auto"/>
              <w:jc w:val="center"/>
              <w:rPr>
                <w:rFonts w:ascii="Times New Roman" w:hAnsi="Times New Roman"/>
              </w:rPr>
            </w:pP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Gęstość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Nasiąkliwość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Grube zanieczyszczenia lekkie, według PN-EN 1744-1 p. 14.2,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w:t>
            </w:r>
            <w:r w:rsidRPr="00F51F3B">
              <w:rPr>
                <w:rFonts w:ascii="Times New Roman" w:hAnsi="Times New Roman"/>
                <w:vertAlign w:val="subscript"/>
              </w:rPr>
              <w:t>LPC</w:t>
            </w:r>
            <w:r w:rsidRPr="00F51F3B">
              <w:rPr>
                <w:rFonts w:ascii="Times New Roman" w:hAnsi="Times New Roman"/>
              </w:rPr>
              <w:t>0,1</w:t>
            </w:r>
          </w:p>
        </w:tc>
      </w:tr>
    </w:tbl>
    <w:p w:rsidR="00C318BA" w:rsidRPr="00970BC7" w:rsidRDefault="00C318BA" w:rsidP="00C318BA">
      <w:pPr>
        <w:spacing w:after="0" w:line="240" w:lineRule="auto"/>
        <w:jc w:val="both"/>
        <w:rPr>
          <w:rFonts w:ascii="Times New Roman" w:hAnsi="Times New Roman"/>
          <w:sz w:val="24"/>
          <w:szCs w:val="24"/>
        </w:rPr>
      </w:pPr>
      <w:r w:rsidRPr="00970BC7">
        <w:rPr>
          <w:rFonts w:ascii="Times New Roman" w:hAnsi="Times New Roman"/>
          <w:sz w:val="24"/>
          <w:szCs w:val="24"/>
        </w:rPr>
        <w:t xml:space="preserve">a) NR – No </w:t>
      </w:r>
      <w:proofErr w:type="spellStart"/>
      <w:r w:rsidRPr="00970BC7">
        <w:rPr>
          <w:rFonts w:ascii="Times New Roman" w:hAnsi="Times New Roman"/>
          <w:sz w:val="24"/>
          <w:szCs w:val="24"/>
        </w:rPr>
        <w:t>Required</w:t>
      </w:r>
      <w:proofErr w:type="spellEnd"/>
      <w:r w:rsidRPr="00970BC7">
        <w:rPr>
          <w:rFonts w:ascii="Times New Roman" w:hAnsi="Times New Roman"/>
          <w:sz w:val="24"/>
          <w:szCs w:val="24"/>
        </w:rPr>
        <w:t xml:space="preserve"> (nie wymagane)</w:t>
      </w:r>
    </w:p>
    <w:p w:rsidR="00C318BA" w:rsidRPr="00970BC7" w:rsidRDefault="00C318BA" w:rsidP="00C318BA">
      <w:pPr>
        <w:spacing w:after="0" w:line="240" w:lineRule="auto"/>
        <w:ind w:left="1080" w:hanging="1080"/>
        <w:jc w:val="both"/>
        <w:rPr>
          <w:rFonts w:ascii="Times New Roman" w:hAnsi="Times New Roman"/>
          <w:sz w:val="24"/>
          <w:szCs w:val="24"/>
        </w:rPr>
      </w:pPr>
    </w:p>
    <w:p w:rsidR="00C318BA" w:rsidRPr="00C318BA" w:rsidRDefault="00C318BA" w:rsidP="00C318BA">
      <w:pPr>
        <w:spacing w:after="0" w:line="240" w:lineRule="auto"/>
        <w:ind w:left="1080" w:hanging="1080"/>
        <w:jc w:val="both"/>
        <w:rPr>
          <w:rFonts w:ascii="Times New Roman" w:hAnsi="Times New Roman"/>
          <w:b/>
          <w:sz w:val="24"/>
          <w:szCs w:val="24"/>
        </w:rPr>
      </w:pPr>
      <w:r w:rsidRPr="00C318BA">
        <w:rPr>
          <w:rFonts w:ascii="Times New Roman" w:hAnsi="Times New Roman"/>
          <w:b/>
          <w:sz w:val="24"/>
          <w:szCs w:val="24"/>
        </w:rPr>
        <w:t>Tablica 2b.</w:t>
      </w:r>
      <w:r w:rsidRPr="00C318BA">
        <w:rPr>
          <w:rFonts w:ascii="Times New Roman" w:hAnsi="Times New Roman"/>
          <w:b/>
          <w:sz w:val="24"/>
          <w:szCs w:val="24"/>
        </w:rPr>
        <w:tab/>
        <w:t>Wymagane właściwości kruszywa łamanego drobnego lub o ciągłym uziarnieniu D</w:t>
      </w:r>
      <w:r w:rsidRPr="00C318BA">
        <w:rPr>
          <w:rFonts w:ascii="Times New Roman" w:hAnsi="Times New Roman"/>
          <w:b/>
          <w:sz w:val="24"/>
          <w:szCs w:val="24"/>
        </w:rPr>
        <w:sym w:font="Symbol" w:char="F0A3"/>
      </w:r>
      <w:r w:rsidRPr="00C318BA">
        <w:rPr>
          <w:rFonts w:ascii="Times New Roman" w:hAnsi="Times New Roman"/>
          <w:b/>
          <w:sz w:val="24"/>
          <w:szCs w:val="24"/>
        </w:rPr>
        <w:t xml:space="preserve">8mm do </w:t>
      </w:r>
      <w:r w:rsidRPr="00C318BA">
        <w:rPr>
          <w:rFonts w:ascii="Times New Roman" w:hAnsi="Times New Roman"/>
          <w:b/>
          <w:bCs/>
          <w:sz w:val="24"/>
          <w:szCs w:val="24"/>
        </w:rPr>
        <w:t xml:space="preserve">warstwy </w:t>
      </w:r>
      <w:r w:rsidR="004D4534">
        <w:rPr>
          <w:rFonts w:ascii="Times New Roman" w:hAnsi="Times New Roman"/>
          <w:b/>
          <w:bCs/>
          <w:color w:val="000000"/>
          <w:sz w:val="24"/>
          <w:szCs w:val="24"/>
        </w:rPr>
        <w:t>wiążącej i wyrównawczej</w:t>
      </w:r>
      <w:r w:rsidR="004D4534">
        <w:rPr>
          <w:rFonts w:ascii="Times New Roman" w:hAnsi="Times New Roman"/>
          <w:b/>
          <w:sz w:val="24"/>
          <w:szCs w:val="24"/>
        </w:rPr>
        <w:t xml:space="preserve"> z betonu asfaltowego</w:t>
      </w:r>
    </w:p>
    <w:p w:rsidR="00C318BA" w:rsidRPr="00970BC7" w:rsidRDefault="00C318BA" w:rsidP="00C318BA">
      <w:pPr>
        <w:spacing w:after="0" w:line="240" w:lineRule="auto"/>
        <w:ind w:left="1080" w:hanging="1080"/>
        <w:jc w:val="both"/>
        <w:rPr>
          <w:rFonts w:ascii="Times New Roman" w:hAnsi="Times New Roman"/>
          <w:sz w:val="24"/>
          <w:szCs w:val="24"/>
        </w:rPr>
      </w:pPr>
    </w:p>
    <w:tbl>
      <w:tblPr>
        <w:tblW w:w="8100" w:type="dxa"/>
        <w:tblInd w:w="108" w:type="dxa"/>
        <w:tblLayout w:type="fixed"/>
        <w:tblLook w:val="01E0" w:firstRow="1" w:lastRow="1" w:firstColumn="1" w:lastColumn="1" w:noHBand="0" w:noVBand="0"/>
      </w:tblPr>
      <w:tblGrid>
        <w:gridCol w:w="4320"/>
        <w:gridCol w:w="3780"/>
      </w:tblGrid>
      <w:tr w:rsidR="00C318BA" w:rsidRPr="00F51F3B" w:rsidTr="00C318BA">
        <w:trPr>
          <w:cantSplit/>
        </w:trPr>
        <w:tc>
          <w:tcPr>
            <w:tcW w:w="4320" w:type="dxa"/>
            <w:vMerge w:val="restart"/>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Właściwości kruszywa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Wymagania w zależności od </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kategorii ruchu</w:t>
            </w:r>
          </w:p>
        </w:tc>
      </w:tr>
      <w:tr w:rsidR="00C318BA" w:rsidRPr="00F51F3B" w:rsidTr="00C318BA">
        <w:trPr>
          <w:cantSplit/>
        </w:trPr>
        <w:tc>
          <w:tcPr>
            <w:tcW w:w="4320" w:type="dxa"/>
            <w:vMerge/>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KR1-KR2</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Uziarnienie według PN-EN 933-1, wymagana kategoria: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F</w:t>
            </w:r>
            <w:r w:rsidRPr="00F51F3B">
              <w:rPr>
                <w:rFonts w:ascii="Times New Roman" w:hAnsi="Times New Roman"/>
              </w:rPr>
              <w:t>85 lub G</w:t>
            </w:r>
            <w:r w:rsidRPr="00F51F3B">
              <w:rPr>
                <w:rFonts w:ascii="Times New Roman" w:hAnsi="Times New Roman"/>
                <w:vertAlign w:val="subscript"/>
              </w:rPr>
              <w:t>A</w:t>
            </w:r>
            <w:r w:rsidRPr="00F51F3B">
              <w:rPr>
                <w:rFonts w:ascii="Times New Roman" w:hAnsi="Times New Roman"/>
              </w:rPr>
              <w:t xml:space="preserve">85 </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Tolerancja uziarnienia; odchylenie nie większe niż według kategorii:</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TC</w:t>
            </w:r>
            <w:r w:rsidRPr="00F51F3B">
              <w:rPr>
                <w:rFonts w:ascii="Times New Roman" w:hAnsi="Times New Roman"/>
              </w:rPr>
              <w:t>NR</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Zawartość pyłu według PN-EN 933-1;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ƒ</w:t>
            </w:r>
            <w:r w:rsidRPr="00F51F3B">
              <w:rPr>
                <w:rFonts w:ascii="Times New Roman" w:hAnsi="Times New Roman"/>
                <w:vertAlign w:val="subscript"/>
              </w:rPr>
              <w:t>16</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Jakość pyłu według PN-EN 933-9,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MB</w:t>
            </w:r>
            <w:r w:rsidRPr="00F51F3B">
              <w:rPr>
                <w:rFonts w:ascii="Times New Roman" w:hAnsi="Times New Roman"/>
                <w:vertAlign w:val="subscript"/>
              </w:rPr>
              <w:t>F</w:t>
            </w:r>
            <w:r w:rsidRPr="00F51F3B">
              <w:rPr>
                <w:rFonts w:ascii="Times New Roman" w:hAnsi="Times New Roman"/>
              </w:rPr>
              <w:t>10</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Kanciastość kruszywa drobnego lub kruszywa 0/2 wydzielonego z kruszywa o ciągłym uziarnieniu według PN-EN 933-6, rozdz. 8, kategoria nie niższa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E</w:t>
            </w:r>
            <w:r w:rsidRPr="00F51F3B">
              <w:rPr>
                <w:rFonts w:ascii="Times New Roman" w:hAnsi="Times New Roman"/>
                <w:vertAlign w:val="subscript"/>
              </w:rPr>
              <w:t>C</w:t>
            </w:r>
            <w:r w:rsidR="004D4534">
              <w:rPr>
                <w:rFonts w:ascii="Times New Roman" w:hAnsi="Times New Roman"/>
                <w:vertAlign w:val="subscript"/>
              </w:rPr>
              <w:t xml:space="preserve">S </w:t>
            </w:r>
            <w:r w:rsidR="004D4534" w:rsidRPr="004D4534">
              <w:rPr>
                <w:rFonts w:ascii="Times New Roman" w:hAnsi="Times New Roman"/>
                <w:vertAlign w:val="subscript"/>
              </w:rPr>
              <w:t>Deklarowana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 xml:space="preserve">Gęstość ziaren według PN-EN 1097-6, rozdz. </w:t>
            </w:r>
            <w:r w:rsidRPr="00F51F3B">
              <w:rPr>
                <w:rFonts w:ascii="Times New Roman" w:hAnsi="Times New Roman"/>
              </w:rPr>
              <w:lastRenderedPageBreak/>
              <w:t>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lastRenderedPageBreak/>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Nasiąkliwość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Grube zanieczyszczenia lekkie, według PN-EN 1744-1 p. 14.2,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w:t>
            </w:r>
            <w:r w:rsidRPr="00F51F3B">
              <w:rPr>
                <w:rFonts w:ascii="Times New Roman" w:hAnsi="Times New Roman"/>
                <w:vertAlign w:val="subscript"/>
              </w:rPr>
              <w:t>LPC</w:t>
            </w:r>
            <w:r w:rsidRPr="00F51F3B">
              <w:rPr>
                <w:rFonts w:ascii="Times New Roman" w:hAnsi="Times New Roman"/>
              </w:rPr>
              <w:t>0,1</w:t>
            </w:r>
          </w:p>
        </w:tc>
      </w:tr>
    </w:tbl>
    <w:p w:rsidR="00C318BA" w:rsidRPr="00970BC7" w:rsidRDefault="00C318BA" w:rsidP="00C318BA">
      <w:pPr>
        <w:spacing w:after="0" w:line="240" w:lineRule="auto"/>
        <w:jc w:val="both"/>
        <w:rPr>
          <w:rFonts w:ascii="Times New Roman" w:hAnsi="Times New Roman"/>
          <w:sz w:val="24"/>
          <w:szCs w:val="24"/>
        </w:rPr>
      </w:pPr>
      <w:r w:rsidRPr="00970BC7">
        <w:rPr>
          <w:rFonts w:ascii="Times New Roman" w:hAnsi="Times New Roman"/>
          <w:sz w:val="24"/>
          <w:szCs w:val="24"/>
        </w:rPr>
        <w:t xml:space="preserve">a) NR – No </w:t>
      </w:r>
      <w:proofErr w:type="spellStart"/>
      <w:r w:rsidRPr="00970BC7">
        <w:rPr>
          <w:rFonts w:ascii="Times New Roman" w:hAnsi="Times New Roman"/>
          <w:sz w:val="24"/>
          <w:szCs w:val="24"/>
        </w:rPr>
        <w:t>Required</w:t>
      </w:r>
      <w:proofErr w:type="spellEnd"/>
      <w:r w:rsidRPr="00970BC7">
        <w:rPr>
          <w:rFonts w:ascii="Times New Roman" w:hAnsi="Times New Roman"/>
          <w:sz w:val="24"/>
          <w:szCs w:val="24"/>
        </w:rPr>
        <w:t xml:space="preserve"> (nie wymagane)</w:t>
      </w:r>
    </w:p>
    <w:p w:rsidR="00C318BA" w:rsidRPr="00970BC7" w:rsidRDefault="00C318BA" w:rsidP="00C318BA">
      <w:pPr>
        <w:spacing w:after="0" w:line="240" w:lineRule="auto"/>
        <w:ind w:left="1080" w:hanging="1080"/>
        <w:jc w:val="both"/>
        <w:rPr>
          <w:rFonts w:ascii="Times New Roman" w:hAnsi="Times New Roman"/>
          <w:sz w:val="24"/>
          <w:szCs w:val="24"/>
        </w:rPr>
      </w:pPr>
    </w:p>
    <w:p w:rsidR="00C318BA" w:rsidRPr="00536809" w:rsidRDefault="00C318BA" w:rsidP="00C318BA">
      <w:pPr>
        <w:widowControl w:val="0"/>
        <w:autoSpaceDE w:val="0"/>
        <w:autoSpaceDN w:val="0"/>
        <w:adjustRightInd w:val="0"/>
        <w:spacing w:after="0" w:line="240" w:lineRule="auto"/>
        <w:jc w:val="both"/>
        <w:rPr>
          <w:rFonts w:ascii="Arial" w:hAnsi="Arial" w:cs="Arial"/>
          <w:sz w:val="24"/>
          <w:szCs w:val="24"/>
        </w:rPr>
      </w:pPr>
      <w:r w:rsidRPr="00536809">
        <w:rPr>
          <w:rFonts w:ascii="Times New Roman" w:hAnsi="Times New Roman"/>
          <w:color w:val="000000"/>
          <w:sz w:val="24"/>
          <w:szCs w:val="24"/>
        </w:rPr>
        <w:t xml:space="preserve">Do warstwy </w:t>
      </w:r>
      <w:r w:rsidR="004D4534">
        <w:rPr>
          <w:rFonts w:ascii="Times New Roman" w:hAnsi="Times New Roman"/>
          <w:color w:val="000000"/>
          <w:sz w:val="24"/>
          <w:szCs w:val="24"/>
        </w:rPr>
        <w:t xml:space="preserve">wiążącej i wyrównawczej </w:t>
      </w:r>
      <w:r w:rsidRPr="00536809">
        <w:rPr>
          <w:rFonts w:ascii="Times New Roman" w:hAnsi="Times New Roman"/>
          <w:color w:val="000000"/>
          <w:sz w:val="24"/>
          <w:szCs w:val="24"/>
        </w:rPr>
        <w:t>KR 1-2 dopuszcza się stosowanie kruszywa niełamanego drobnego pod warunkiem, że proporcja kruszywa łamanego do niełamanego będz</w:t>
      </w:r>
      <w:r>
        <w:rPr>
          <w:rFonts w:ascii="Times New Roman" w:hAnsi="Times New Roman"/>
          <w:color w:val="000000"/>
          <w:sz w:val="24"/>
          <w:szCs w:val="24"/>
        </w:rPr>
        <w:t>ie wynosiła co najmniej 50/50.</w:t>
      </w:r>
    </w:p>
    <w:p w:rsidR="00C318BA" w:rsidRPr="00536809" w:rsidRDefault="00C318BA" w:rsidP="00C318BA">
      <w:pPr>
        <w:widowControl w:val="0"/>
        <w:autoSpaceDE w:val="0"/>
        <w:autoSpaceDN w:val="0"/>
        <w:adjustRightInd w:val="0"/>
        <w:spacing w:before="26" w:after="0" w:line="240" w:lineRule="auto"/>
        <w:jc w:val="both"/>
        <w:rPr>
          <w:rFonts w:ascii="Arial" w:hAnsi="Arial" w:cs="Arial"/>
          <w:sz w:val="24"/>
          <w:szCs w:val="24"/>
        </w:rPr>
      </w:pPr>
      <w:r w:rsidRPr="00536809">
        <w:rPr>
          <w:rFonts w:ascii="Times New Roman" w:hAnsi="Times New Roman"/>
          <w:color w:val="000000"/>
          <w:sz w:val="24"/>
          <w:szCs w:val="24"/>
        </w:rPr>
        <w:t>Grysy bazaltowe nie powinny wykazywać oznak zgorzeli słonecznej i zmian natury chemicznej - wymagane badanie kruszywa pod kątem występowania zgorzeli. Badanie zgorzeli przeprowadza się metodą gotowania zgodnie z m</w:t>
      </w:r>
      <w:r>
        <w:rPr>
          <w:rFonts w:ascii="Times New Roman" w:hAnsi="Times New Roman"/>
          <w:color w:val="000000"/>
          <w:sz w:val="24"/>
          <w:szCs w:val="24"/>
        </w:rPr>
        <w:t xml:space="preserve">etodą określoną w normie </w:t>
      </w:r>
      <w:r w:rsidRPr="00536809">
        <w:rPr>
          <w:rFonts w:ascii="Times New Roman" w:hAnsi="Times New Roman"/>
          <w:color w:val="000000"/>
          <w:sz w:val="24"/>
          <w:szCs w:val="24"/>
        </w:rPr>
        <w:t xml:space="preserve">PN-EN 1367-03. Do badania zgorzeli można stosować inne metody, zaakceptowane przez Inspektora Nadzoru. </w:t>
      </w:r>
    </w:p>
    <w:p w:rsidR="00C318BA" w:rsidRPr="00536809" w:rsidRDefault="00C318BA" w:rsidP="00C318BA">
      <w:pPr>
        <w:widowControl w:val="0"/>
        <w:autoSpaceDE w:val="0"/>
        <w:autoSpaceDN w:val="0"/>
        <w:adjustRightInd w:val="0"/>
        <w:spacing w:after="0" w:line="240" w:lineRule="auto"/>
        <w:rPr>
          <w:rFonts w:ascii="Arial" w:hAnsi="Arial" w:cs="Arial"/>
          <w:sz w:val="24"/>
          <w:szCs w:val="24"/>
        </w:rPr>
      </w:pPr>
    </w:p>
    <w:p w:rsidR="00C318BA" w:rsidRPr="00536809" w:rsidRDefault="00C318BA" w:rsidP="00C318BA">
      <w:pPr>
        <w:widowControl w:val="0"/>
        <w:autoSpaceDE w:val="0"/>
        <w:autoSpaceDN w:val="0"/>
        <w:adjustRightInd w:val="0"/>
        <w:spacing w:before="14" w:after="0" w:line="240" w:lineRule="auto"/>
        <w:rPr>
          <w:rFonts w:ascii="Arial" w:hAnsi="Arial" w:cs="Arial"/>
          <w:sz w:val="24"/>
          <w:szCs w:val="24"/>
        </w:rPr>
      </w:pPr>
      <w:r w:rsidRPr="00536809">
        <w:rPr>
          <w:rFonts w:ascii="Times New Roman" w:hAnsi="Times New Roman"/>
          <w:b/>
          <w:bCs/>
          <w:color w:val="000000"/>
          <w:sz w:val="24"/>
          <w:szCs w:val="24"/>
        </w:rPr>
        <w:t xml:space="preserve">2.3. Asfalt drogowy </w:t>
      </w:r>
    </w:p>
    <w:p w:rsidR="00C318BA" w:rsidRPr="00536809" w:rsidRDefault="00C318BA" w:rsidP="00C318BA">
      <w:pPr>
        <w:widowControl w:val="0"/>
        <w:autoSpaceDE w:val="0"/>
        <w:autoSpaceDN w:val="0"/>
        <w:adjustRightInd w:val="0"/>
        <w:spacing w:before="53" w:after="0" w:line="240" w:lineRule="auto"/>
        <w:rPr>
          <w:rFonts w:ascii="Arial" w:hAnsi="Arial" w:cs="Arial"/>
          <w:sz w:val="24"/>
          <w:szCs w:val="24"/>
        </w:rPr>
      </w:pPr>
      <w:r>
        <w:rPr>
          <w:rFonts w:ascii="Times New Roman" w:hAnsi="Times New Roman"/>
          <w:b/>
          <w:bCs/>
          <w:i/>
          <w:iCs/>
          <w:color w:val="000000"/>
          <w:sz w:val="24"/>
          <w:szCs w:val="24"/>
        </w:rPr>
        <w:t>2.3.1.</w:t>
      </w:r>
      <w:r>
        <w:rPr>
          <w:rFonts w:ascii="Times New Roman" w:hAnsi="Times New Roman"/>
          <w:b/>
          <w:bCs/>
          <w:i/>
          <w:iCs/>
          <w:color w:val="000000"/>
          <w:sz w:val="24"/>
          <w:szCs w:val="24"/>
        </w:rPr>
        <w:tab/>
      </w:r>
      <w:r w:rsidRPr="00536809">
        <w:rPr>
          <w:rFonts w:ascii="Times New Roman" w:hAnsi="Times New Roman"/>
          <w:b/>
          <w:bCs/>
          <w:i/>
          <w:iCs/>
          <w:color w:val="000000"/>
          <w:sz w:val="24"/>
          <w:szCs w:val="24"/>
        </w:rPr>
        <w:t xml:space="preserve">Rodzaje lepiszczy i zakres ich stosowania </w:t>
      </w:r>
    </w:p>
    <w:p w:rsidR="00C318BA" w:rsidRPr="00536809" w:rsidRDefault="00C318BA" w:rsidP="004D4534">
      <w:pPr>
        <w:widowControl w:val="0"/>
        <w:autoSpaceDE w:val="0"/>
        <w:autoSpaceDN w:val="0"/>
        <w:adjustRightInd w:val="0"/>
        <w:spacing w:before="50" w:after="0" w:line="240" w:lineRule="auto"/>
        <w:jc w:val="both"/>
        <w:rPr>
          <w:rFonts w:ascii="Arial" w:hAnsi="Arial" w:cs="Arial"/>
          <w:sz w:val="24"/>
          <w:szCs w:val="24"/>
        </w:rPr>
      </w:pPr>
      <w:r w:rsidRPr="00536809">
        <w:rPr>
          <w:rFonts w:ascii="Times New Roman" w:hAnsi="Times New Roman"/>
          <w:color w:val="000000"/>
          <w:sz w:val="24"/>
          <w:szCs w:val="24"/>
        </w:rPr>
        <w:t>Niniejsza SST uwzględnia tylko lepiszcza aktualnie p</w:t>
      </w:r>
      <w:r>
        <w:rPr>
          <w:rFonts w:ascii="Times New Roman" w:hAnsi="Times New Roman"/>
          <w:color w:val="000000"/>
          <w:sz w:val="24"/>
          <w:szCs w:val="24"/>
        </w:rPr>
        <w:t>rodukowane i dostępne w kraju.</w:t>
      </w:r>
    </w:p>
    <w:p w:rsidR="00C318BA" w:rsidRPr="00536809" w:rsidRDefault="00C318BA" w:rsidP="00C318BA">
      <w:pPr>
        <w:widowControl w:val="0"/>
        <w:autoSpaceDE w:val="0"/>
        <w:autoSpaceDN w:val="0"/>
        <w:adjustRightInd w:val="0"/>
        <w:spacing w:before="36" w:after="0" w:line="240" w:lineRule="auto"/>
        <w:jc w:val="both"/>
        <w:rPr>
          <w:rFonts w:ascii="Arial" w:hAnsi="Arial" w:cs="Arial"/>
          <w:sz w:val="24"/>
          <w:szCs w:val="24"/>
        </w:rPr>
      </w:pPr>
      <w:r w:rsidRPr="00536809">
        <w:rPr>
          <w:rFonts w:ascii="Times New Roman" w:hAnsi="Times New Roman"/>
          <w:color w:val="000000"/>
          <w:sz w:val="24"/>
          <w:szCs w:val="24"/>
        </w:rPr>
        <w:t xml:space="preserve">Do mieszanek mineralno-asfaltowych objętych niniejszą SST </w:t>
      </w:r>
      <w:r>
        <w:rPr>
          <w:rFonts w:ascii="Times New Roman" w:hAnsi="Times New Roman"/>
          <w:color w:val="000000"/>
          <w:sz w:val="24"/>
          <w:szCs w:val="24"/>
        </w:rPr>
        <w:t xml:space="preserve">należy stosować asfalt drogowy </w:t>
      </w:r>
      <w:r w:rsidRPr="00536809">
        <w:rPr>
          <w:rFonts w:ascii="Times New Roman" w:hAnsi="Times New Roman"/>
          <w:color w:val="000000"/>
          <w:sz w:val="24"/>
          <w:szCs w:val="24"/>
        </w:rPr>
        <w:t xml:space="preserve">50/70, spełniający wymagania podane w tablicy 3 według normy PN-EN-12591. </w:t>
      </w:r>
    </w:p>
    <w:p w:rsidR="00C318BA" w:rsidRPr="00536809" w:rsidRDefault="00C318BA" w:rsidP="00C318BA">
      <w:pPr>
        <w:widowControl w:val="0"/>
        <w:autoSpaceDE w:val="0"/>
        <w:autoSpaceDN w:val="0"/>
        <w:adjustRightInd w:val="0"/>
        <w:spacing w:after="0" w:line="240" w:lineRule="auto"/>
        <w:rPr>
          <w:rFonts w:ascii="Arial" w:hAnsi="Arial" w:cs="Arial"/>
          <w:sz w:val="24"/>
          <w:szCs w:val="24"/>
        </w:rPr>
      </w:pPr>
    </w:p>
    <w:p w:rsidR="00C318BA" w:rsidRDefault="00C318BA" w:rsidP="00C318BA">
      <w:pPr>
        <w:widowControl w:val="0"/>
        <w:autoSpaceDE w:val="0"/>
        <w:autoSpaceDN w:val="0"/>
        <w:adjustRightInd w:val="0"/>
        <w:spacing w:before="22" w:after="327" w:line="240" w:lineRule="auto"/>
        <w:rPr>
          <w:rFonts w:ascii="Times New Roman" w:hAnsi="Times New Roman"/>
          <w:b/>
          <w:bCs/>
          <w:color w:val="000000"/>
          <w:sz w:val="24"/>
          <w:szCs w:val="24"/>
        </w:rPr>
      </w:pPr>
      <w:r w:rsidRPr="00536809">
        <w:rPr>
          <w:rFonts w:ascii="Times New Roman" w:hAnsi="Times New Roman"/>
          <w:b/>
          <w:bCs/>
          <w:color w:val="000000"/>
          <w:sz w:val="24"/>
          <w:szCs w:val="24"/>
        </w:rPr>
        <w:t xml:space="preserve">Tablica 3.   Wymagania wobec asfaltów drogowych gatunku 50/70 wg PN-EN-12591 </w:t>
      </w:r>
    </w:p>
    <w:tbl>
      <w:tblPr>
        <w:tblW w:w="8505" w:type="dxa"/>
        <w:tblInd w:w="108" w:type="dxa"/>
        <w:tblLook w:val="01E0" w:firstRow="1" w:lastRow="1" w:firstColumn="1" w:lastColumn="1" w:noHBand="0" w:noVBand="0"/>
      </w:tblPr>
      <w:tblGrid>
        <w:gridCol w:w="477"/>
        <w:gridCol w:w="3786"/>
        <w:gridCol w:w="1765"/>
        <w:gridCol w:w="2477"/>
      </w:tblGrid>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proofErr w:type="spellStart"/>
            <w:r w:rsidRPr="00305D44">
              <w:rPr>
                <w:rFonts w:ascii="Times New Roman" w:hAnsi="Times New Roman"/>
                <w:spacing w:val="-3"/>
              </w:rPr>
              <w:t>Lp</w:t>
            </w:r>
            <w:proofErr w:type="spellEnd"/>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Parametr</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Metoda badania</w:t>
            </w:r>
          </w:p>
        </w:tc>
        <w:tc>
          <w:tcPr>
            <w:tcW w:w="2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Wymaganie 50/70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1</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Penetracja w temperaturze 25</w:t>
            </w:r>
            <w:r w:rsidRPr="00305D44">
              <w:rPr>
                <w:rFonts w:ascii="Times New Roman" w:hAnsi="Times New Roman"/>
                <w:spacing w:val="-3"/>
                <w:vertAlign w:val="superscript"/>
              </w:rPr>
              <w:t>˚</w:t>
            </w:r>
            <w:r w:rsidRPr="00305D44">
              <w:rPr>
                <w:rFonts w:ascii="Times New Roman" w:hAnsi="Times New Roman"/>
                <w:spacing w:val="-3"/>
              </w:rPr>
              <w:t>C, x 0,1mm</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1426</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50 – 70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2</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Temperatura mięknienia,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1427</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46 – 54</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3</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Temperatura zapłonu wg </w:t>
            </w:r>
            <w:proofErr w:type="spellStart"/>
            <w:r w:rsidRPr="00305D44">
              <w:rPr>
                <w:rFonts w:ascii="Times New Roman" w:hAnsi="Times New Roman"/>
                <w:spacing w:val="-3"/>
              </w:rPr>
              <w:t>Clevelenda</w:t>
            </w:r>
            <w:proofErr w:type="spellEnd"/>
            <w:r w:rsidRPr="00305D44">
              <w:rPr>
                <w:rFonts w:ascii="Times New Roman" w:hAnsi="Times New Roman"/>
                <w:spacing w:val="-3"/>
              </w:rPr>
              <w:t xml:space="preserve">, min,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22592</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230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4</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Rozpuszczalność, min % (mm)</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12592</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99</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5</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Temperatura łamliwości </w:t>
            </w:r>
            <w:proofErr w:type="spellStart"/>
            <w:r w:rsidRPr="00305D44">
              <w:rPr>
                <w:rFonts w:ascii="Times New Roman" w:hAnsi="Times New Roman"/>
                <w:spacing w:val="-3"/>
              </w:rPr>
              <w:t>Fraassa</w:t>
            </w:r>
            <w:proofErr w:type="spellEnd"/>
            <w:r w:rsidRPr="00305D44">
              <w:rPr>
                <w:rFonts w:ascii="Times New Roman" w:hAnsi="Times New Roman"/>
                <w:spacing w:val="-3"/>
              </w:rPr>
              <w:t xml:space="preserve">,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12593</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≤-8</w:t>
            </w:r>
          </w:p>
        </w:tc>
      </w:tr>
      <w:tr w:rsidR="00C318BA" w:rsidRPr="00305D44" w:rsidTr="00C318BA">
        <w:trPr>
          <w:trHeight w:val="543"/>
        </w:trPr>
        <w:tc>
          <w:tcPr>
            <w:tcW w:w="8505" w:type="dxa"/>
            <w:gridSpan w:val="4"/>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Odporność na starzenie w temperaturze 163</w:t>
            </w:r>
            <w:r w:rsidRPr="00305D44">
              <w:rPr>
                <w:rFonts w:ascii="Times New Roman" w:hAnsi="Times New Roman"/>
                <w:spacing w:val="-3"/>
                <w:vertAlign w:val="superscript"/>
              </w:rPr>
              <w:t>˚</w:t>
            </w:r>
            <w:r w:rsidRPr="00305D44">
              <w:rPr>
                <w:rFonts w:ascii="Times New Roman" w:hAnsi="Times New Roman"/>
                <w:spacing w:val="-3"/>
              </w:rPr>
              <w:t>C wg PN-EN 12607-1</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6</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zmiana masy, %</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12607-1</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≤0,5</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7</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rPr>
                <w:rFonts w:ascii="Times New Roman" w:hAnsi="Times New Roman"/>
                <w:spacing w:val="-3"/>
              </w:rPr>
            </w:pPr>
            <w:r w:rsidRPr="00305D44">
              <w:rPr>
                <w:rFonts w:ascii="Times New Roman" w:hAnsi="Times New Roman"/>
                <w:spacing w:val="-3"/>
              </w:rPr>
              <w:t>- pozostała penetracja, min %</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1426</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≥50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9</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 wzrost temperatury mięknienia, max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lang w:val="de-DE"/>
              </w:rPr>
            </w:pPr>
            <w:r w:rsidRPr="00305D44">
              <w:rPr>
                <w:rFonts w:ascii="Times New Roman" w:hAnsi="Times New Roman"/>
                <w:spacing w:val="-3"/>
                <w:lang w:val="de-DE"/>
              </w:rPr>
              <w:t>PN-EN 1427</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lang w:val="de-DE"/>
              </w:rPr>
            </w:pPr>
            <w:r w:rsidRPr="00305D44">
              <w:rPr>
                <w:rFonts w:ascii="Times New Roman" w:hAnsi="Times New Roman"/>
                <w:spacing w:val="-3"/>
                <w:lang w:val="de-DE"/>
              </w:rPr>
              <w:t>9</w:t>
            </w:r>
          </w:p>
        </w:tc>
      </w:tr>
    </w:tbl>
    <w:p w:rsidR="00C318BA" w:rsidRPr="00536809" w:rsidRDefault="00C318BA" w:rsidP="00C318BA">
      <w:pPr>
        <w:widowControl w:val="0"/>
        <w:autoSpaceDE w:val="0"/>
        <w:autoSpaceDN w:val="0"/>
        <w:adjustRightInd w:val="0"/>
        <w:spacing w:before="45" w:after="0" w:line="240" w:lineRule="auto"/>
        <w:rPr>
          <w:rFonts w:ascii="Arial" w:hAnsi="Arial" w:cs="Arial"/>
          <w:sz w:val="24"/>
          <w:szCs w:val="24"/>
        </w:rPr>
      </w:pPr>
    </w:p>
    <w:p w:rsidR="00C318BA"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536809">
        <w:rPr>
          <w:rFonts w:ascii="Times New Roman" w:hAnsi="Times New Roman"/>
          <w:color w:val="000000"/>
          <w:sz w:val="24"/>
          <w:szCs w:val="24"/>
        </w:rPr>
        <w:t xml:space="preserve">Temperatury technologiczne dotyczące wytwarzania i układania mieszanki mineralno-asfaltowej (w tym temperatury minimalna i maksymalna dla asfaltu), oraz temperatury zagęszczania próbek wg. metody Marshalla muszą być podane przez Producenta asfaltu. Wykaz tych temperatur zostanie zatwierdzony przez Inspektora Nadzoru i stanowić będzie </w:t>
      </w:r>
      <w:r>
        <w:rPr>
          <w:rFonts w:ascii="Times New Roman" w:hAnsi="Times New Roman"/>
          <w:color w:val="000000"/>
          <w:sz w:val="24"/>
          <w:szCs w:val="24"/>
        </w:rPr>
        <w:t>in</w:t>
      </w:r>
      <w:r w:rsidRPr="00536809">
        <w:rPr>
          <w:rFonts w:ascii="Times New Roman" w:hAnsi="Times New Roman"/>
          <w:color w:val="000000"/>
          <w:sz w:val="24"/>
          <w:szCs w:val="24"/>
        </w:rPr>
        <w:t xml:space="preserve">tegralną część niniejszej SST. </w:t>
      </w:r>
    </w:p>
    <w:p w:rsidR="00C318BA" w:rsidRPr="00536809" w:rsidRDefault="00C318BA" w:rsidP="00C318BA">
      <w:pPr>
        <w:widowControl w:val="0"/>
        <w:autoSpaceDE w:val="0"/>
        <w:autoSpaceDN w:val="0"/>
        <w:adjustRightInd w:val="0"/>
        <w:spacing w:before="120" w:after="120" w:line="240" w:lineRule="auto"/>
        <w:rPr>
          <w:rFonts w:ascii="Arial" w:hAnsi="Arial" w:cs="Arial"/>
          <w:sz w:val="24"/>
          <w:szCs w:val="24"/>
        </w:rPr>
      </w:pPr>
      <w:r w:rsidRPr="00536809">
        <w:rPr>
          <w:rFonts w:ascii="Times New Roman" w:hAnsi="Times New Roman"/>
          <w:b/>
          <w:bCs/>
          <w:color w:val="000000"/>
          <w:sz w:val="24"/>
          <w:szCs w:val="24"/>
        </w:rPr>
        <w:t xml:space="preserve">2.4. Wypełniacz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Do mieszanek mineralno-bitumicznych otaczanych na gorąco należy stosować wypełniacz zgodny z wymaganiami PN-EN 13043 i „WT-1 Kruszywa 2010".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W tablicy nr 4 podano wymagane właściwości wypełniacza do warstwy </w:t>
      </w:r>
      <w:r w:rsidR="00117542">
        <w:rPr>
          <w:rFonts w:ascii="Times New Roman" w:hAnsi="Times New Roman"/>
          <w:color w:val="000000"/>
          <w:sz w:val="24"/>
          <w:szCs w:val="24"/>
        </w:rPr>
        <w:t>wiążącej i wyrównawczej</w:t>
      </w:r>
      <w:r w:rsidRPr="00536809">
        <w:rPr>
          <w:rFonts w:ascii="Times New Roman" w:hAnsi="Times New Roman"/>
          <w:color w:val="000000"/>
          <w:sz w:val="24"/>
          <w:szCs w:val="24"/>
        </w:rPr>
        <w:t xml:space="preserve"> z betonu asfaltowego. </w:t>
      </w:r>
    </w:p>
    <w:p w:rsidR="00C318BA" w:rsidRDefault="00C318BA" w:rsidP="00C318BA">
      <w:pPr>
        <w:widowControl w:val="0"/>
        <w:autoSpaceDE w:val="0"/>
        <w:autoSpaceDN w:val="0"/>
        <w:adjustRightInd w:val="0"/>
        <w:spacing w:before="22" w:after="238" w:line="240" w:lineRule="auto"/>
        <w:ind w:left="643"/>
        <w:rPr>
          <w:rFonts w:ascii="Times New Roman" w:hAnsi="Times New Roman"/>
          <w:b/>
          <w:bCs/>
          <w:color w:val="000000"/>
          <w:sz w:val="24"/>
          <w:szCs w:val="24"/>
        </w:rPr>
      </w:pPr>
      <w:r w:rsidRPr="00536809">
        <w:rPr>
          <w:rFonts w:ascii="Times New Roman" w:hAnsi="Times New Roman"/>
          <w:b/>
          <w:bCs/>
          <w:color w:val="000000"/>
          <w:sz w:val="24"/>
          <w:szCs w:val="24"/>
        </w:rPr>
        <w:lastRenderedPageBreak/>
        <w:t>Tablica</w:t>
      </w:r>
      <w:r>
        <w:rPr>
          <w:rFonts w:ascii="Times New Roman" w:hAnsi="Times New Roman"/>
          <w:b/>
          <w:bCs/>
          <w:color w:val="000000"/>
          <w:sz w:val="24"/>
          <w:szCs w:val="24"/>
        </w:rPr>
        <w:t xml:space="preserve"> 4.</w:t>
      </w:r>
      <w:r w:rsidRPr="00536809">
        <w:rPr>
          <w:rFonts w:ascii="Times New Roman" w:hAnsi="Times New Roman"/>
          <w:b/>
          <w:bCs/>
          <w:color w:val="000000"/>
          <w:sz w:val="24"/>
          <w:szCs w:val="24"/>
        </w:rPr>
        <w:t xml:space="preserve"> Wymagane właściwości wypełniacza do warstwy </w:t>
      </w:r>
      <w:r w:rsidR="004D4534">
        <w:rPr>
          <w:rFonts w:ascii="Times New Roman" w:hAnsi="Times New Roman"/>
          <w:b/>
          <w:bCs/>
          <w:color w:val="000000"/>
          <w:sz w:val="24"/>
          <w:szCs w:val="24"/>
        </w:rPr>
        <w:t>wiążącej i wyrównawczej</w:t>
      </w:r>
      <w:r w:rsidRPr="00536809">
        <w:rPr>
          <w:rFonts w:ascii="Times New Roman" w:hAnsi="Times New Roman"/>
          <w:b/>
          <w:bCs/>
          <w:color w:val="000000"/>
          <w:sz w:val="24"/>
          <w:szCs w:val="24"/>
        </w:rPr>
        <w:t xml:space="preserve"> z betonu asfaltowego </w:t>
      </w:r>
    </w:p>
    <w:tbl>
      <w:tblPr>
        <w:tblW w:w="9176" w:type="dxa"/>
        <w:tblInd w:w="108" w:type="dxa"/>
        <w:tblLayout w:type="fixed"/>
        <w:tblLook w:val="01E0" w:firstRow="1" w:lastRow="1" w:firstColumn="1" w:lastColumn="1" w:noHBand="0" w:noVBand="0"/>
      </w:tblPr>
      <w:tblGrid>
        <w:gridCol w:w="4962"/>
        <w:gridCol w:w="4214"/>
      </w:tblGrid>
      <w:tr w:rsidR="00C318BA" w:rsidRPr="00305D44" w:rsidTr="00C318BA">
        <w:trPr>
          <w:cantSplit/>
        </w:trPr>
        <w:tc>
          <w:tcPr>
            <w:tcW w:w="4962" w:type="dxa"/>
            <w:vMerge w:val="restart"/>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Właściwości wypełniacza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 xml:space="preserve">Wymagania w zależności od </w:t>
            </w:r>
          </w:p>
          <w:p w:rsidR="00C318BA" w:rsidRPr="00305D44" w:rsidRDefault="00C318BA" w:rsidP="00C318BA">
            <w:pPr>
              <w:spacing w:after="0"/>
              <w:jc w:val="center"/>
              <w:rPr>
                <w:rFonts w:ascii="Times New Roman" w:hAnsi="Times New Roman"/>
              </w:rPr>
            </w:pPr>
            <w:r w:rsidRPr="00305D44">
              <w:rPr>
                <w:rFonts w:ascii="Times New Roman" w:hAnsi="Times New Roman"/>
              </w:rPr>
              <w:t>kategorii ruchu</w:t>
            </w:r>
          </w:p>
        </w:tc>
      </w:tr>
      <w:tr w:rsidR="00C318BA" w:rsidRPr="00305D44" w:rsidTr="00C318BA">
        <w:trPr>
          <w:cantSplit/>
        </w:trPr>
        <w:tc>
          <w:tcPr>
            <w:tcW w:w="4962" w:type="dxa"/>
            <w:vMerge/>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KR1÷KR2</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Uziarnienie</w:t>
            </w:r>
            <w:r w:rsidRPr="00305D44">
              <w:rPr>
                <w:rFonts w:ascii="Times New Roman" w:hAnsi="Times New Roman"/>
                <w:i/>
              </w:rPr>
              <w:t>*</w:t>
            </w:r>
            <w:r w:rsidRPr="00305D44">
              <w:rPr>
                <w:rFonts w:ascii="Times New Roman" w:hAnsi="Times New Roman"/>
              </w:rPr>
              <w:t xml:space="preserve"> według PN-EN 933-10;</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zgodne z tablicą 24 w PN-EN 13043</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Jakość pyłów według PN-EN 933-9, kategoria nie wyższa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vertAlign w:val="subscript"/>
              </w:rPr>
            </w:pPr>
            <w:r w:rsidRPr="00305D44">
              <w:rPr>
                <w:rFonts w:ascii="Times New Roman" w:hAnsi="Times New Roman"/>
                <w:i/>
              </w:rPr>
              <w:t>MB</w:t>
            </w:r>
            <w:r w:rsidRPr="00305D44">
              <w:rPr>
                <w:rFonts w:ascii="Times New Roman" w:hAnsi="Times New Roman"/>
                <w:vertAlign w:val="subscript"/>
              </w:rPr>
              <w:t>F</w:t>
            </w:r>
            <w:r w:rsidRPr="00305D44">
              <w:rPr>
                <w:rFonts w:ascii="Times New Roman" w:hAnsi="Times New Roman"/>
              </w:rPr>
              <w:t>10</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Zawartość wody według PN-EN 1097-5, nie wyższa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1 %(m/m)</w:t>
            </w:r>
          </w:p>
          <w:p w:rsidR="00C318BA" w:rsidRPr="00305D44" w:rsidRDefault="00C318BA" w:rsidP="00C318BA">
            <w:pPr>
              <w:spacing w:after="0"/>
              <w:jc w:val="center"/>
              <w:rPr>
                <w:rFonts w:ascii="Times New Roman" w:hAnsi="Times New Roman"/>
              </w:rPr>
            </w:pP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Gęstość ziaren według PN-EN 1097-7:</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deklarowana przez producenta</w:t>
            </w:r>
          </w:p>
        </w:tc>
      </w:tr>
      <w:tr w:rsidR="00C318BA" w:rsidRPr="00305D44" w:rsidTr="00493DA2">
        <w:trPr>
          <w:trHeight w:val="850"/>
        </w:trPr>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Wolne przestrzenie w suchym zagęszczonym wypełniaczu według PN-EN 1097-4,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i/>
              </w:rPr>
              <w:t>V</w:t>
            </w:r>
            <w:r w:rsidRPr="00305D44">
              <w:rPr>
                <w:rFonts w:ascii="Times New Roman" w:hAnsi="Times New Roman"/>
                <w:vertAlign w:val="subscript"/>
              </w:rPr>
              <w:t>28/45</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Przyrost temperatury mięknienia według PN-EN 13179-1,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w:t>
            </w:r>
            <w:r w:rsidRPr="00305D44">
              <w:rPr>
                <w:rFonts w:ascii="Times New Roman" w:hAnsi="Times New Roman"/>
                <w:vertAlign w:val="subscript"/>
              </w:rPr>
              <w:t>R&amp;B</w:t>
            </w:r>
            <w:r w:rsidRPr="00305D44">
              <w:rPr>
                <w:rFonts w:ascii="Times New Roman" w:hAnsi="Times New Roman"/>
              </w:rPr>
              <w:t>8/25</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Rozpuszczalność w wodzie według PN-EN 1744-1, kategoria nie wyższa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i/>
              </w:rPr>
              <w:t>WS</w:t>
            </w:r>
            <w:r w:rsidRPr="00305D44">
              <w:rPr>
                <w:rFonts w:ascii="Times New Roman" w:hAnsi="Times New Roman"/>
                <w:vertAlign w:val="subscript"/>
              </w:rPr>
              <w:t>10</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Zawartość CaCO</w:t>
            </w:r>
            <w:r w:rsidRPr="00305D44">
              <w:rPr>
                <w:rFonts w:ascii="Times New Roman" w:hAnsi="Times New Roman"/>
                <w:vertAlign w:val="subscript"/>
              </w:rPr>
              <w:t>3</w:t>
            </w:r>
            <w:r w:rsidRPr="00305D44">
              <w:rPr>
                <w:rFonts w:ascii="Times New Roman" w:hAnsi="Times New Roman"/>
              </w:rPr>
              <w:t xml:space="preserve"> w wypełniaczu wapiennym według PN-EN 196-21, kategoria nie niższa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i/>
              </w:rPr>
              <w:t>CC</w:t>
            </w:r>
            <w:r w:rsidRPr="00305D44">
              <w:rPr>
                <w:rFonts w:ascii="Times New Roman" w:hAnsi="Times New Roman"/>
                <w:vertAlign w:val="subscript"/>
              </w:rPr>
              <w:t>70</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Zawartość wodorotlenku wapnia w wypełniaczu mieszanym,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i/>
              </w:rPr>
            </w:pPr>
            <w:r w:rsidRPr="00305D44">
              <w:rPr>
                <w:rFonts w:ascii="Times New Roman" w:hAnsi="Times New Roman"/>
                <w:i/>
              </w:rPr>
              <w:t>K</w:t>
            </w:r>
            <w:r w:rsidRPr="00305D44">
              <w:rPr>
                <w:rFonts w:ascii="Times New Roman" w:hAnsi="Times New Roman"/>
                <w:vertAlign w:val="subscript"/>
              </w:rPr>
              <w:t>a Deklarowana</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„Liczba asfaltowa” według PN-EN 13179-2,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i/>
              </w:rPr>
            </w:pPr>
            <w:proofErr w:type="spellStart"/>
            <w:r w:rsidRPr="00305D44">
              <w:rPr>
                <w:rFonts w:ascii="Times New Roman" w:hAnsi="Times New Roman"/>
                <w:i/>
              </w:rPr>
              <w:t>BN</w:t>
            </w:r>
            <w:r w:rsidRPr="00305D44">
              <w:rPr>
                <w:rFonts w:ascii="Times New Roman" w:hAnsi="Times New Roman"/>
                <w:vertAlign w:val="subscript"/>
              </w:rPr>
              <w:t>Deklarowana</w:t>
            </w:r>
            <w:proofErr w:type="spellEnd"/>
          </w:p>
        </w:tc>
      </w:tr>
    </w:tbl>
    <w:p w:rsidR="00493DA2" w:rsidRPr="00536809" w:rsidRDefault="00493DA2" w:rsidP="00493DA2">
      <w:pPr>
        <w:widowControl w:val="0"/>
        <w:autoSpaceDE w:val="0"/>
        <w:autoSpaceDN w:val="0"/>
        <w:adjustRightInd w:val="0"/>
        <w:spacing w:before="33" w:after="0" w:line="240" w:lineRule="auto"/>
        <w:rPr>
          <w:rFonts w:ascii="Arial" w:hAnsi="Arial" w:cs="Arial"/>
          <w:sz w:val="24"/>
          <w:szCs w:val="24"/>
        </w:rPr>
      </w:pPr>
      <w:r>
        <w:rPr>
          <w:rFonts w:ascii="Times New Roman" w:eastAsiaTheme="minorHAnsi" w:hAnsi="Times New Roman"/>
          <w:i/>
          <w:iCs/>
          <w:sz w:val="20"/>
          <w:szCs w:val="20"/>
          <w:lang w:eastAsia="en-US"/>
        </w:rPr>
        <w:t>*) Dotyczy tylko wypełniacza dodanego</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Zawartość węglanu wapnia CaCO3 w skale stanowiącej surowiec do produkcji wypełniacza powinna być nie mniejsza niż 70%.  </w:t>
      </w:r>
    </w:p>
    <w:p w:rsidR="00C318BA" w:rsidRPr="00536809" w:rsidRDefault="00C318BA" w:rsidP="00C318BA">
      <w:pPr>
        <w:widowControl w:val="0"/>
        <w:autoSpaceDE w:val="0"/>
        <w:autoSpaceDN w:val="0"/>
        <w:adjustRightInd w:val="0"/>
        <w:spacing w:before="120" w:after="120" w:line="240" w:lineRule="auto"/>
        <w:rPr>
          <w:rFonts w:ascii="Arial" w:hAnsi="Arial" w:cs="Arial"/>
          <w:sz w:val="24"/>
          <w:szCs w:val="24"/>
        </w:rPr>
      </w:pPr>
      <w:r w:rsidRPr="00536809">
        <w:rPr>
          <w:rFonts w:ascii="Times New Roman" w:hAnsi="Times New Roman"/>
          <w:b/>
          <w:bCs/>
          <w:color w:val="000000"/>
          <w:sz w:val="24"/>
          <w:szCs w:val="24"/>
        </w:rPr>
        <w:t xml:space="preserve">2.5. Środek adhezyjny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Środek adhezyjny i jego ilość powinny być dobrane do zastosowanego kruszywa mineralnego i asfaltu. Ocenę przyczepności należy określić na podstawie badania według PN-EN 12697-11 metoda A po 6h obracania, stosując kruszywo 8/11 jako podstawowe (dopuszcza się inne wymiary w przypadku braku wymiaru podstawowego). Przyczepność lepiszcza do kruszywa powinna wynosić co najmniej 80 %.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Należy stosować jedynie te środki adhezyjne, które posiadają odpowiedni dokument dopuszczający do stosowania w budownictwie drogowym, wydany przez Instytut Badawczy Dróg i Mostów lub inną notyfikowaną jednostkę. Wytwórnia mieszanek mineralno-bitumicznych powinna być wyposażona w automatyczny system dozowania środka adhezyjnego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2.6. Dostawy materiałów </w:t>
      </w:r>
    </w:p>
    <w:p w:rsidR="00C318BA" w:rsidRPr="005A12B6" w:rsidRDefault="00C318BA" w:rsidP="00C318BA">
      <w:pPr>
        <w:widowControl w:val="0"/>
        <w:autoSpaceDE w:val="0"/>
        <w:autoSpaceDN w:val="0"/>
        <w:adjustRightInd w:val="0"/>
        <w:spacing w:before="50" w:after="0" w:line="240" w:lineRule="auto"/>
        <w:jc w:val="both"/>
        <w:rPr>
          <w:rFonts w:ascii="Arial" w:hAnsi="Arial" w:cs="Arial"/>
          <w:sz w:val="24"/>
          <w:szCs w:val="24"/>
        </w:rPr>
      </w:pPr>
      <w:r w:rsidRPr="005A12B6">
        <w:rPr>
          <w:rFonts w:ascii="Times New Roman" w:hAnsi="Times New Roman"/>
          <w:color w:val="000000"/>
          <w:sz w:val="24"/>
          <w:szCs w:val="24"/>
        </w:rPr>
        <w:t xml:space="preserve">Za dostawy materiałów odpowiedzialny jest Wykonawca robót zgodnie z ustaleniami określonymi w SST D-M-00.00.00 „Wymagania ogólne". </w:t>
      </w:r>
    </w:p>
    <w:p w:rsidR="00C318BA" w:rsidRPr="005A12B6" w:rsidRDefault="00C318BA" w:rsidP="00C318BA">
      <w:pPr>
        <w:widowControl w:val="0"/>
        <w:autoSpaceDE w:val="0"/>
        <w:autoSpaceDN w:val="0"/>
        <w:adjustRightInd w:val="0"/>
        <w:spacing w:before="36" w:after="0" w:line="240" w:lineRule="auto"/>
        <w:jc w:val="both"/>
        <w:rPr>
          <w:rFonts w:ascii="Arial" w:hAnsi="Arial" w:cs="Arial"/>
          <w:sz w:val="24"/>
          <w:szCs w:val="24"/>
        </w:rPr>
      </w:pPr>
      <w:r w:rsidRPr="005A12B6">
        <w:rPr>
          <w:rFonts w:ascii="Times New Roman" w:hAnsi="Times New Roman"/>
          <w:color w:val="000000"/>
          <w:sz w:val="24"/>
          <w:szCs w:val="24"/>
        </w:rPr>
        <w:t xml:space="preserve">Do obowiązku Wykonawcy należy takie zorganizowanie dostaw materiałów do wytwarzania mieszanki, aby zapewnić nieprzerwaną pracę otaczarki w trakcie wykonywania dziennej działki roboczej.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Każda dostawa asfaltu, kruszywa i wypełniacza musi być zaopatrzona w deklarację zgodności o treści według PN-EN-45014, wydaną przez dostawcę.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Pr>
          <w:rFonts w:ascii="Times New Roman" w:hAnsi="Times New Roman"/>
          <w:b/>
          <w:bCs/>
          <w:color w:val="000000"/>
          <w:sz w:val="24"/>
          <w:szCs w:val="24"/>
        </w:rPr>
        <w:lastRenderedPageBreak/>
        <w:t xml:space="preserve">3.  </w:t>
      </w:r>
      <w:r w:rsidRPr="005A12B6">
        <w:rPr>
          <w:rFonts w:ascii="Times New Roman" w:hAnsi="Times New Roman"/>
          <w:b/>
          <w:bCs/>
          <w:color w:val="000000"/>
          <w:sz w:val="24"/>
          <w:szCs w:val="24"/>
        </w:rPr>
        <w:t xml:space="preserve">SPRZĘT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3.1.  Wymagania ogólne dotyczące sprzętu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Wymagania ogólne dotyczące sprzętu podano w SST D.M.00.00.00 „Wymagania ogólne”.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3.2.  Sprzęt do wykonania nawierzchni z betonu asfaltowego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color w:val="000000"/>
          <w:sz w:val="24"/>
          <w:szCs w:val="24"/>
        </w:rPr>
        <w:t>Używany sprzęt powinien być zgodny z ofertą Wykonawcy i warunkami określonymi</w:t>
      </w:r>
      <w:r w:rsidRPr="005A12B6">
        <w:rPr>
          <w:rFonts w:ascii="Times New Roman" w:hAnsi="Times New Roman"/>
          <w:color w:val="000000"/>
          <w:sz w:val="24"/>
          <w:szCs w:val="24"/>
        </w:rPr>
        <w:t xml:space="preserve"> w SST D-M-00.00.00. „Wymagania Ogólne".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Wytwórnia lub wytwórnie mieszanek mineralno-bitumicznych powinny posiadać certyfikat zakładowej kontroli produkcji wydany przez jednostkę certyfikującą, być w pełni zautomatyzowane, z rejestrem komputerowym dającym możliwość kontroli w każdym etapie cyklu technologicznego, zapewniające ciągłą produkcję i dostawę MMA na budowę.</w:t>
      </w:r>
      <w:r>
        <w:rPr>
          <w:rFonts w:ascii="Times New Roman" w:hAnsi="Times New Roman"/>
          <w:color w:val="000000"/>
          <w:sz w:val="24"/>
          <w:szCs w:val="24"/>
        </w:rPr>
        <w:t xml:space="preserve"> </w:t>
      </w:r>
      <w:r w:rsidRPr="005A12B6">
        <w:rPr>
          <w:rFonts w:ascii="Times New Roman" w:hAnsi="Times New Roman"/>
          <w:color w:val="000000"/>
          <w:sz w:val="24"/>
          <w:szCs w:val="24"/>
        </w:rPr>
        <w:t xml:space="preserve">Wszystkie urządzenia pomiarowe powinny posiadać aktualne świadectwo uwierzytelnienia.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Wykonawca ma obowiązek przedstawić Inspektorowi Nadzoru świadectwo dopuszczenia wytwórni do produkcji wydane przez Inspekcję Sanitarną i władze ochrony środowiska.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Układarka mechaniczna o wydajności skorelo</w:t>
      </w:r>
      <w:r>
        <w:rPr>
          <w:rFonts w:ascii="Times New Roman" w:hAnsi="Times New Roman"/>
          <w:color w:val="000000"/>
          <w:sz w:val="24"/>
          <w:szCs w:val="24"/>
        </w:rPr>
        <w:t>wanej z wydajnością wytwórni, z </w:t>
      </w:r>
      <w:r w:rsidRPr="005A12B6">
        <w:rPr>
          <w:rFonts w:ascii="Times New Roman" w:hAnsi="Times New Roman"/>
          <w:color w:val="000000"/>
          <w:sz w:val="24"/>
          <w:szCs w:val="24"/>
        </w:rPr>
        <w:t xml:space="preserve">automatycznym sterowaniem, pozwalającym na ułożenie warstwy z założoną grubością oraz szerokością, oraz z podgrzewaną płytą wibracyjną do wstępnego zagęszczania. Walce stalowe gładkie z wibracją, średnie i ciężkie. Walce ogumione ciężkie. Cysterna na wodę. Sprzęt drobny pomocniczy.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5A12B6">
        <w:rPr>
          <w:rFonts w:ascii="Times New Roman" w:hAnsi="Times New Roman"/>
          <w:b/>
          <w:bCs/>
          <w:color w:val="000000"/>
          <w:sz w:val="24"/>
          <w:szCs w:val="24"/>
        </w:rPr>
        <w:t xml:space="preserve">4.  TRANSPORT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4.1.  Wymagania ogólne dotyczące transportu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Wymagania ogólne dotyczące transportu podano w SST D</w:t>
      </w:r>
      <w:r>
        <w:rPr>
          <w:rFonts w:ascii="Times New Roman" w:hAnsi="Times New Roman"/>
          <w:color w:val="000000"/>
          <w:sz w:val="24"/>
          <w:szCs w:val="24"/>
        </w:rPr>
        <w:t>.M.00.00.00 „Wymagania ogólne”.</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4.2.  Transport materiałów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Transport poszczególnych asortymentów materiałów</w:t>
      </w:r>
      <w:r>
        <w:rPr>
          <w:rFonts w:ascii="Times New Roman" w:hAnsi="Times New Roman"/>
          <w:color w:val="000000"/>
          <w:sz w:val="24"/>
          <w:szCs w:val="24"/>
        </w:rPr>
        <w:t xml:space="preserve"> powinien odbywać się zgodnie z </w:t>
      </w:r>
      <w:r w:rsidRPr="005A12B6">
        <w:rPr>
          <w:rFonts w:ascii="Times New Roman" w:hAnsi="Times New Roman"/>
          <w:color w:val="000000"/>
          <w:sz w:val="24"/>
          <w:szCs w:val="24"/>
        </w:rPr>
        <w:t>wymogami, zawartymi w rozdziałach niniejszej SST.</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i/>
          <w:iCs/>
          <w:color w:val="000000"/>
          <w:sz w:val="24"/>
          <w:szCs w:val="24"/>
        </w:rPr>
        <w:t xml:space="preserve">4.2.1. Asfalt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Asfalt należy przewozić zgodnie z zasadami podanymi w PN-C-04024.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Asfalt należy przewozić izolowanymi termicznie cysternami, wyposażonymi w instalacje umożliwiające podłączenie cystern do urządzeń grzewczych lub wyposażonymi we własne urządzenia grzewcze.</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i/>
          <w:iCs/>
          <w:color w:val="000000"/>
          <w:sz w:val="24"/>
          <w:szCs w:val="24"/>
        </w:rPr>
        <w:t xml:space="preserve">4.2.2. Wypełniacz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Wypełniacz luzem należy przewozić w cysternach przystosowanych do przewozu materiałów sypkich, umożliwiających rozładunek pneumatyczny.</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b/>
          <w:bCs/>
          <w:i/>
          <w:iCs/>
          <w:color w:val="000000"/>
          <w:sz w:val="24"/>
          <w:szCs w:val="24"/>
        </w:rPr>
        <w:t xml:space="preserve">4.2.3. Kruszywo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Kruszywo można przewozić dowolnymi środkami transportu, w warunkach zabezpieczających je przed zanieczyszczeniem, zmieszaniem z innymi asortymentami kruszywa lub jego frakcjami i nadmiernym zawilgoceniem.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b/>
          <w:bCs/>
          <w:i/>
          <w:iCs/>
          <w:color w:val="000000"/>
          <w:sz w:val="24"/>
          <w:szCs w:val="24"/>
        </w:rPr>
        <w:t xml:space="preserve">4.2.4. Mieszanka betonu asfaltowego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Do transportu mieszanki przewiduje się samochody  samowyładowcze posiadające pokrowce brezentowe zapewniające utrzymanie odpowiedniej temperatury transportowanej mieszanki.</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Ładowność i ilość środków transportowych powinna być tak dobrana aby zapewnić ciągłą pracę układarki a jednocześnie nie dopuścić do zbyt długiego przestoju przed wyładowaniem i wbudowaniem mieszan</w:t>
      </w:r>
      <w:r>
        <w:rPr>
          <w:rFonts w:ascii="Times New Roman" w:hAnsi="Times New Roman"/>
          <w:color w:val="000000"/>
          <w:sz w:val="24"/>
          <w:szCs w:val="24"/>
        </w:rPr>
        <w:t>ki asfaltowej.</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lastRenderedPageBreak/>
        <w:t xml:space="preserve">Transport powinien być zorganizowany w taki sposób aby nie dopuścić do spadków temperatury przewożonej mieszanki z wytwórni do miejsca wbudowania poniżej </w:t>
      </w:r>
      <w:r>
        <w:rPr>
          <w:rFonts w:ascii="Times New Roman" w:hAnsi="Times New Roman"/>
          <w:color w:val="000000"/>
          <w:sz w:val="24"/>
          <w:szCs w:val="24"/>
        </w:rPr>
        <w:t>wartości dopuszczalnych określonych w tablicy 9</w:t>
      </w:r>
      <w:r w:rsidRPr="005A12B6">
        <w:rPr>
          <w:rFonts w:ascii="Times New Roman" w:hAnsi="Times New Roman"/>
          <w:color w:val="000000"/>
          <w:sz w:val="24"/>
          <w:szCs w:val="24"/>
        </w:rPr>
        <w:t xml:space="preserve">.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Powierzchnia wewnętrzna skrzyni samochodów przed załadunkiem musi być spryskana środkami zapobiegającymi przyklejaniu się mieszanki.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Skrzynie samochodów wywrotek muszą być dostosowane do współpracy z układarką w czasie rozładunku, kiedy układarką pcha przed sobą samochód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5A12B6">
        <w:rPr>
          <w:rFonts w:ascii="Times New Roman" w:hAnsi="Times New Roman"/>
          <w:b/>
          <w:bCs/>
          <w:color w:val="000000"/>
          <w:sz w:val="24"/>
          <w:szCs w:val="24"/>
        </w:rPr>
        <w:t xml:space="preserve">5.  WYKONANIE ROBÓT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5.1.  Ogólne zasady wykonywania robót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Ogólne zasady wykonywania robót podano w SST D.M.00.00.00 „Wymagania ogólne”. </w:t>
      </w:r>
    </w:p>
    <w:p w:rsidR="004D4534" w:rsidRDefault="004D4534" w:rsidP="00C318BA">
      <w:pPr>
        <w:widowControl w:val="0"/>
        <w:autoSpaceDE w:val="0"/>
        <w:autoSpaceDN w:val="0"/>
        <w:adjustRightInd w:val="0"/>
        <w:spacing w:before="120" w:after="120" w:line="240" w:lineRule="auto"/>
        <w:jc w:val="both"/>
        <w:rPr>
          <w:rFonts w:ascii="Times New Roman" w:hAnsi="Times New Roman"/>
          <w:b/>
          <w:bCs/>
          <w:color w:val="000000"/>
          <w:sz w:val="24"/>
          <w:szCs w:val="24"/>
        </w:rPr>
      </w:pP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b/>
          <w:bCs/>
          <w:color w:val="000000"/>
          <w:sz w:val="24"/>
          <w:szCs w:val="24"/>
        </w:rPr>
        <w:t xml:space="preserve">5.2.  Projektowanie mieszanki mineralno-asfaltowej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Receptę MMA należy wykonać przed rozpoczęciem produkcji mieszanki oraz przy każdej zmianie dostawcy lub złoża materiału jak również po stwierdzeniu w trakcie badań kontrolnych zmiany cech produkowanej mieszanki.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Projektowanie składu betonu asfaltowego i właściwości zaprojektowanej mieszanki mineralno-asfaltowej należy wykonać zgodnie z „WT-2 Nawierzchnie asfaltowe 2010".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Jeżeli jest stosowana mieszanka kruszywa drobnego niełamanego i łamanego, to należy przyjąć proporcję kruszywa łamanego do niełamanego co najmniej 50/50.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Gęstość mieszanki kruszyw należy wyznaczać ze wzoru: </w:t>
      </w:r>
    </w:p>
    <w:p w:rsidR="00C318BA" w:rsidRPr="005A12B6" w:rsidRDefault="00C318BA" w:rsidP="00C318BA">
      <w:pPr>
        <w:widowControl w:val="0"/>
        <w:autoSpaceDE w:val="0"/>
        <w:autoSpaceDN w:val="0"/>
        <w:adjustRightInd w:val="0"/>
        <w:spacing w:before="5" w:after="0" w:line="240" w:lineRule="auto"/>
        <w:jc w:val="both"/>
        <w:rPr>
          <w:rFonts w:ascii="Arial" w:hAnsi="Arial" w:cs="Arial"/>
          <w:sz w:val="24"/>
          <w:szCs w:val="24"/>
        </w:rPr>
      </w:pPr>
      <w:r w:rsidRPr="005A12B6">
        <w:rPr>
          <w:noProof/>
          <w:sz w:val="24"/>
          <w:szCs w:val="24"/>
        </w:rPr>
        <w:drawing>
          <wp:anchor distT="0" distB="0" distL="3" distR="141972" simplePos="0" relativeHeight="251659264" behindDoc="0" locked="0" layoutInCell="1" allowOverlap="1">
            <wp:simplePos x="0" y="0"/>
            <wp:positionH relativeFrom="column">
              <wp:posOffset>0</wp:posOffset>
            </wp:positionH>
            <wp:positionV relativeFrom="paragraph">
              <wp:posOffset>129540</wp:posOffset>
            </wp:positionV>
            <wp:extent cx="5788025" cy="1566545"/>
            <wp:effectExtent l="0" t="0" r="3175"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88025" cy="1566545"/>
                    </a:xfrm>
                    <a:prstGeom prst="rect">
                      <a:avLst/>
                    </a:prstGeom>
                    <a:noFill/>
                  </pic:spPr>
                </pic:pic>
              </a:graphicData>
            </a:graphic>
          </wp:anchor>
        </w:drawing>
      </w:r>
      <w:r w:rsidRPr="005A12B6">
        <w:rPr>
          <w:rFonts w:ascii="Times New Roman" w:hAnsi="Times New Roman"/>
          <w:color w:val="000000"/>
          <w:sz w:val="24"/>
          <w:szCs w:val="24"/>
        </w:rPr>
        <w:t>Minimalna zawartość lepiszcza asfaltowego, jest to najmniejsza ilość lepiszcza rozpuszczalnego i nierozpuszczalnego, określona dla danego typu mieszanki mineralno-asfaltowej, przy założonej gęstości mieszanki mineralnej 2,650 Mg/m. Jeżeli stosowana mieszanka mineralna ma inna gęstość, to do wyznaczenia minimalnej zawartości lepiszcza podana wartość nal</w:t>
      </w:r>
      <w:r>
        <w:rPr>
          <w:rFonts w:ascii="Times New Roman" w:hAnsi="Times New Roman"/>
          <w:color w:val="000000"/>
          <w:sz w:val="24"/>
          <w:szCs w:val="24"/>
        </w:rPr>
        <w:t>eży pomnożyć przez współczynnik α</w:t>
      </w:r>
    </w:p>
    <w:p w:rsidR="00C318BA" w:rsidRPr="005A12B6" w:rsidRDefault="00C318BA" w:rsidP="00C318BA">
      <w:pPr>
        <w:widowControl w:val="0"/>
        <w:autoSpaceDE w:val="0"/>
        <w:autoSpaceDN w:val="0"/>
        <w:adjustRightInd w:val="0"/>
        <w:spacing w:before="36" w:after="0" w:line="240" w:lineRule="auto"/>
        <w:rPr>
          <w:rFonts w:ascii="Arial" w:hAnsi="Arial" w:cs="Arial"/>
          <w:sz w:val="24"/>
          <w:szCs w:val="24"/>
        </w:rPr>
      </w:pPr>
      <w:r w:rsidRPr="005A12B6">
        <w:rPr>
          <w:rFonts w:ascii="Times New Roman" w:hAnsi="Times New Roman"/>
          <w:color w:val="000000"/>
          <w:sz w:val="24"/>
          <w:szCs w:val="24"/>
        </w:rPr>
        <w:t xml:space="preserve">wg równania: </w:t>
      </w:r>
    </w:p>
    <w:p w:rsidR="00C318BA" w:rsidRPr="005A12B6" w:rsidRDefault="00C318BA" w:rsidP="00C318BA">
      <w:pPr>
        <w:widowControl w:val="0"/>
        <w:autoSpaceDE w:val="0"/>
        <w:autoSpaceDN w:val="0"/>
        <w:adjustRightInd w:val="0"/>
        <w:spacing w:before="36" w:after="0" w:line="240" w:lineRule="auto"/>
        <w:jc w:val="center"/>
        <w:rPr>
          <w:rFonts w:ascii="Arial" w:hAnsi="Arial" w:cs="Arial"/>
          <w:sz w:val="24"/>
          <w:szCs w:val="24"/>
        </w:rPr>
      </w:pPr>
      <w:r>
        <w:rPr>
          <w:rFonts w:ascii="Times New Roman" w:hAnsi="Times New Roman"/>
          <w:noProof/>
          <w:color w:val="000000"/>
          <w:sz w:val="24"/>
          <w:szCs w:val="24"/>
        </w:rPr>
        <w:drawing>
          <wp:inline distT="0" distB="0" distL="0" distR="0">
            <wp:extent cx="955343" cy="51658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5388" cy="516611"/>
                    </a:xfrm>
                    <a:prstGeom prst="rect">
                      <a:avLst/>
                    </a:prstGeom>
                    <a:noFill/>
                    <a:ln>
                      <a:noFill/>
                    </a:ln>
                  </pic:spPr>
                </pic:pic>
              </a:graphicData>
            </a:graphic>
          </wp:inline>
        </w:drawing>
      </w:r>
    </w:p>
    <w:p w:rsidR="00C318BA" w:rsidRPr="005A12B6" w:rsidRDefault="00C318BA" w:rsidP="00C318BA">
      <w:pPr>
        <w:widowControl w:val="0"/>
        <w:autoSpaceDE w:val="0"/>
        <w:autoSpaceDN w:val="0"/>
        <w:adjustRightInd w:val="0"/>
        <w:spacing w:before="12" w:after="0" w:line="240" w:lineRule="auto"/>
        <w:jc w:val="both"/>
        <w:rPr>
          <w:rFonts w:ascii="Arial" w:hAnsi="Arial" w:cs="Arial"/>
          <w:sz w:val="24"/>
          <w:szCs w:val="24"/>
        </w:rPr>
      </w:pPr>
      <w:r w:rsidRPr="005A12B6">
        <w:rPr>
          <w:rFonts w:ascii="Times New Roman" w:hAnsi="Times New Roman"/>
          <w:color w:val="000000"/>
          <w:sz w:val="24"/>
          <w:szCs w:val="24"/>
        </w:rPr>
        <w:t>Minimalna zawartość lepiszcza w zaprojektowanej mieszance (recepcie) powinna być</w:t>
      </w:r>
      <w:r>
        <w:rPr>
          <w:rFonts w:ascii="Times New Roman" w:hAnsi="Times New Roman"/>
          <w:color w:val="000000"/>
          <w:sz w:val="24"/>
          <w:szCs w:val="24"/>
        </w:rPr>
        <w:t xml:space="preserve"> </w:t>
      </w:r>
      <w:r w:rsidRPr="005A12B6">
        <w:rPr>
          <w:rFonts w:ascii="Times New Roman" w:hAnsi="Times New Roman"/>
          <w:color w:val="000000"/>
          <w:sz w:val="24"/>
          <w:szCs w:val="24"/>
        </w:rPr>
        <w:t xml:space="preserve">wyższa od podanego </w:t>
      </w:r>
      <w:proofErr w:type="spellStart"/>
      <w:r w:rsidRPr="005A12B6">
        <w:rPr>
          <w:rFonts w:ascii="Times New Roman" w:hAnsi="Times New Roman"/>
          <w:color w:val="000000"/>
          <w:sz w:val="24"/>
          <w:szCs w:val="24"/>
        </w:rPr>
        <w:t>B</w:t>
      </w:r>
      <w:r w:rsidRPr="003A40BA">
        <w:rPr>
          <w:rFonts w:ascii="Times New Roman" w:hAnsi="Times New Roman"/>
          <w:color w:val="000000"/>
          <w:sz w:val="24"/>
          <w:szCs w:val="24"/>
          <w:vertAlign w:val="subscript"/>
        </w:rPr>
        <w:t>min</w:t>
      </w:r>
      <w:proofErr w:type="spellEnd"/>
      <w:r>
        <w:rPr>
          <w:rFonts w:ascii="Times New Roman" w:hAnsi="Times New Roman"/>
          <w:color w:val="000000"/>
          <w:sz w:val="24"/>
          <w:szCs w:val="24"/>
          <w:vertAlign w:val="subscript"/>
        </w:rPr>
        <w:t xml:space="preserve"> </w:t>
      </w:r>
      <w:r>
        <w:rPr>
          <w:rFonts w:ascii="Times New Roman" w:hAnsi="Times New Roman"/>
          <w:color w:val="000000"/>
          <w:sz w:val="24"/>
          <w:szCs w:val="24"/>
        </w:rPr>
        <w:t>o</w:t>
      </w:r>
      <w:r w:rsidRPr="005A12B6">
        <w:rPr>
          <w:rFonts w:ascii="Times New Roman" w:hAnsi="Times New Roman"/>
          <w:color w:val="000000"/>
          <w:sz w:val="24"/>
          <w:szCs w:val="24"/>
        </w:rPr>
        <w:t xml:space="preserve"> wielkość</w:t>
      </w:r>
      <w:r>
        <w:rPr>
          <w:rFonts w:ascii="Times New Roman" w:hAnsi="Times New Roman"/>
          <w:color w:val="000000"/>
          <w:sz w:val="24"/>
          <w:szCs w:val="24"/>
        </w:rPr>
        <w:t xml:space="preserve"> </w:t>
      </w:r>
      <w:r w:rsidRPr="005A12B6">
        <w:rPr>
          <w:rFonts w:ascii="Times New Roman" w:hAnsi="Times New Roman"/>
          <w:color w:val="000000"/>
          <w:sz w:val="24"/>
          <w:szCs w:val="24"/>
        </w:rPr>
        <w:t xml:space="preserve">dopuszczalnej odchyłki 0,3 zawierającej błąd dozowania składników i błąd badania. Minimalna zawartość lepiszcza asfaltowego odzyskanego w ekstrakcji – jest to lepiszcze rozpuszczalne (tworzące błonkę lepiszcza na ziarnach kruszywa) w projektowanej mieszance mineralno-asfaltowej (recepcie), nie uwzględniająca lepiszcza zaabsorbowanego przez kruszywo. W badaniu typu należy określić w ekstrakcji lepiszcza z mieszanki mineralno-asfaltowej procentową ilość lepiszcza rozpuszczalnego i nierozpuszczalnego (absorbowanego przez pory kruszywa mieszanki mineralnej) i podać w </w:t>
      </w:r>
      <w:r w:rsidRPr="005A12B6">
        <w:rPr>
          <w:rFonts w:ascii="Times New Roman" w:hAnsi="Times New Roman"/>
          <w:color w:val="000000"/>
          <w:sz w:val="24"/>
          <w:szCs w:val="24"/>
        </w:rPr>
        <w:lastRenderedPageBreak/>
        <w:t xml:space="preserve">sprawozdaniu badania typu. W recepcie roboczej mieszanki mineralno-asfaltowej należy podawać zawartość lepiszcza jako sumę lepiszcza rozpuszczalnego i nierozpuszczalnego (lepiszcze dodane). </w:t>
      </w:r>
    </w:p>
    <w:p w:rsidR="00C318BA" w:rsidRPr="005A12B6" w:rsidRDefault="00C318BA" w:rsidP="00C318BA">
      <w:pPr>
        <w:widowControl w:val="0"/>
        <w:autoSpaceDE w:val="0"/>
        <w:autoSpaceDN w:val="0"/>
        <w:adjustRightInd w:val="0"/>
        <w:spacing w:before="36" w:after="0" w:line="240" w:lineRule="auto"/>
        <w:jc w:val="both"/>
        <w:rPr>
          <w:rFonts w:ascii="Arial" w:hAnsi="Arial" w:cs="Arial"/>
          <w:sz w:val="24"/>
          <w:szCs w:val="24"/>
        </w:rPr>
      </w:pPr>
      <w:r w:rsidRPr="005A12B6">
        <w:rPr>
          <w:rFonts w:ascii="Times New Roman" w:hAnsi="Times New Roman"/>
          <w:color w:val="000000"/>
          <w:sz w:val="24"/>
          <w:szCs w:val="24"/>
        </w:rPr>
        <w:t xml:space="preserve">Temperatury zagęszczania próbek w zależności od rodzaju asfaltu powinny wynosić: </w:t>
      </w:r>
    </w:p>
    <w:p w:rsidR="00C318BA" w:rsidRPr="003A40BA" w:rsidRDefault="00C318BA" w:rsidP="00C318BA">
      <w:pPr>
        <w:pStyle w:val="Akapitzlist"/>
        <w:widowControl w:val="0"/>
        <w:numPr>
          <w:ilvl w:val="0"/>
          <w:numId w:val="2"/>
        </w:numPr>
        <w:autoSpaceDE w:val="0"/>
        <w:autoSpaceDN w:val="0"/>
        <w:adjustRightInd w:val="0"/>
        <w:spacing w:before="39" w:after="0" w:line="240" w:lineRule="auto"/>
        <w:rPr>
          <w:rFonts w:ascii="Arial" w:hAnsi="Arial" w:cs="Arial"/>
          <w:sz w:val="24"/>
          <w:szCs w:val="24"/>
        </w:rPr>
      </w:pPr>
      <w:r w:rsidRPr="003A40BA">
        <w:rPr>
          <w:rFonts w:ascii="Times New Roman" w:hAnsi="Times New Roman"/>
          <w:color w:val="000000"/>
          <w:sz w:val="24"/>
          <w:szCs w:val="24"/>
        </w:rPr>
        <w:t>35/50, 50/70 lub 70/100</w:t>
      </w:r>
      <w:r w:rsidRPr="003A40BA">
        <w:rPr>
          <w:rFonts w:ascii="Times New Roman" w:hAnsi="Times New Roman"/>
          <w:color w:val="000000"/>
          <w:sz w:val="24"/>
          <w:szCs w:val="24"/>
        </w:rPr>
        <w:tab/>
      </w:r>
      <w:r w:rsidRPr="003A40BA">
        <w:rPr>
          <w:rFonts w:ascii="Times New Roman" w:hAnsi="Times New Roman"/>
          <w:color w:val="000000"/>
          <w:sz w:val="24"/>
          <w:szCs w:val="24"/>
        </w:rPr>
        <w:tab/>
      </w:r>
      <w:r>
        <w:rPr>
          <w:rFonts w:ascii="Times New Roman" w:hAnsi="Times New Roman"/>
          <w:color w:val="000000"/>
          <w:sz w:val="24"/>
          <w:szCs w:val="24"/>
        </w:rPr>
        <w:tab/>
      </w:r>
      <w:r w:rsidRPr="003A40BA">
        <w:rPr>
          <w:rFonts w:ascii="Times New Roman" w:hAnsi="Times New Roman"/>
          <w:color w:val="000000"/>
          <w:sz w:val="24"/>
          <w:szCs w:val="24"/>
        </w:rPr>
        <w:t>140</w:t>
      </w:r>
      <w:r w:rsidRPr="003A40BA">
        <w:rPr>
          <w:rFonts w:ascii="Symbol" w:hAnsi="Symbol" w:cs="Symbol"/>
          <w:color w:val="000000"/>
          <w:sz w:val="24"/>
          <w:szCs w:val="24"/>
        </w:rPr>
        <w:t></w:t>
      </w:r>
      <w:r w:rsidRPr="003A40BA">
        <w:rPr>
          <w:rFonts w:ascii="Symbol" w:hAnsi="Symbol" w:cs="Symbol"/>
          <w:color w:val="000000"/>
          <w:sz w:val="24"/>
          <w:szCs w:val="24"/>
        </w:rPr>
        <w:t></w:t>
      </w:r>
      <w:r w:rsidRPr="003A40BA">
        <w:rPr>
          <w:rFonts w:ascii="Times New Roman" w:hAnsi="Times New Roman"/>
          <w:color w:val="000000"/>
          <w:sz w:val="24"/>
          <w:szCs w:val="24"/>
        </w:rPr>
        <w:t>5</w:t>
      </w:r>
      <w:r w:rsidRPr="003A40BA">
        <w:rPr>
          <w:rFonts w:ascii="Symbol" w:hAnsi="Symbol" w:cs="Symbol"/>
          <w:color w:val="000000"/>
          <w:sz w:val="24"/>
          <w:szCs w:val="24"/>
        </w:rPr>
        <w:t></w:t>
      </w:r>
      <w:r>
        <w:rPr>
          <w:rFonts w:ascii="Times New Roman" w:hAnsi="Times New Roman"/>
          <w:color w:val="000000"/>
          <w:sz w:val="24"/>
          <w:szCs w:val="24"/>
        </w:rPr>
        <w:t>C</w:t>
      </w:r>
    </w:p>
    <w:p w:rsidR="00C318BA" w:rsidRPr="005A12B6" w:rsidRDefault="00C318BA" w:rsidP="00C318BA">
      <w:pPr>
        <w:widowControl w:val="0"/>
        <w:autoSpaceDE w:val="0"/>
        <w:autoSpaceDN w:val="0"/>
        <w:adjustRightInd w:val="0"/>
        <w:spacing w:before="19" w:after="0" w:line="240" w:lineRule="auto"/>
        <w:ind w:firstLine="708"/>
        <w:jc w:val="both"/>
        <w:rPr>
          <w:rFonts w:ascii="Arial" w:hAnsi="Arial" w:cs="Arial"/>
          <w:sz w:val="24"/>
          <w:szCs w:val="24"/>
        </w:rPr>
      </w:pPr>
      <w:r w:rsidRPr="005A12B6">
        <w:rPr>
          <w:rFonts w:ascii="Times New Roman" w:hAnsi="Times New Roman"/>
          <w:color w:val="000000"/>
          <w:sz w:val="24"/>
          <w:szCs w:val="24"/>
        </w:rPr>
        <w:t>Do betonu a</w:t>
      </w:r>
      <w:r w:rsidR="004D4534">
        <w:rPr>
          <w:rFonts w:ascii="Times New Roman" w:hAnsi="Times New Roman"/>
          <w:color w:val="000000"/>
          <w:sz w:val="24"/>
          <w:szCs w:val="24"/>
        </w:rPr>
        <w:t>sfaltowego do warstwy wiążącej i wyrównawczej</w:t>
      </w:r>
      <w:r w:rsidRPr="005A12B6">
        <w:rPr>
          <w:rFonts w:ascii="Times New Roman" w:hAnsi="Times New Roman"/>
          <w:color w:val="000000"/>
          <w:sz w:val="24"/>
          <w:szCs w:val="24"/>
        </w:rPr>
        <w:t xml:space="preserve"> należy stosować kruszywa i lepiszcza podane w tablicy 5. </w:t>
      </w:r>
    </w:p>
    <w:p w:rsidR="00C318BA" w:rsidRDefault="00C318BA" w:rsidP="00C318BA">
      <w:pPr>
        <w:widowControl w:val="0"/>
        <w:autoSpaceDE w:val="0"/>
        <w:autoSpaceDN w:val="0"/>
        <w:adjustRightInd w:val="0"/>
        <w:spacing w:before="22" w:after="204" w:line="240" w:lineRule="auto"/>
        <w:rPr>
          <w:rFonts w:ascii="Times New Roman" w:hAnsi="Times New Roman"/>
          <w:b/>
          <w:bCs/>
          <w:color w:val="000000"/>
          <w:sz w:val="24"/>
          <w:szCs w:val="24"/>
        </w:rPr>
      </w:pPr>
      <w:r w:rsidRPr="005A12B6">
        <w:rPr>
          <w:rFonts w:ascii="Times New Roman" w:hAnsi="Times New Roman"/>
          <w:b/>
          <w:bCs/>
          <w:color w:val="000000"/>
          <w:sz w:val="24"/>
          <w:szCs w:val="24"/>
        </w:rPr>
        <w:t>Tablica 5.   Materiały do betonu a</w:t>
      </w:r>
      <w:r w:rsidR="00117542">
        <w:rPr>
          <w:rFonts w:ascii="Times New Roman" w:hAnsi="Times New Roman"/>
          <w:b/>
          <w:bCs/>
          <w:color w:val="000000"/>
          <w:sz w:val="24"/>
          <w:szCs w:val="24"/>
        </w:rPr>
        <w:t>sfaltowego do warstwy wiążącej i wyrównawczej</w:t>
      </w:r>
    </w:p>
    <w:tbl>
      <w:tblPr>
        <w:tblStyle w:val="Tabela-Siatka"/>
        <w:tblW w:w="0" w:type="auto"/>
        <w:tblLook w:val="04A0" w:firstRow="1" w:lastRow="0" w:firstColumn="1" w:lastColumn="0" w:noHBand="0" w:noVBand="1"/>
      </w:tblPr>
      <w:tblGrid>
        <w:gridCol w:w="5070"/>
        <w:gridCol w:w="4222"/>
      </w:tblGrid>
      <w:tr w:rsidR="00C318BA" w:rsidRPr="000A364C" w:rsidTr="00C318BA">
        <w:tc>
          <w:tcPr>
            <w:tcW w:w="5070" w:type="dxa"/>
            <w:vMerge w:val="restart"/>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Materiał</w:t>
            </w:r>
          </w:p>
        </w:tc>
        <w:tc>
          <w:tcPr>
            <w:tcW w:w="4222" w:type="dxa"/>
          </w:tcPr>
          <w:p w:rsidR="00C318BA" w:rsidRPr="000A364C" w:rsidRDefault="00C318BA" w:rsidP="00C318BA">
            <w:pPr>
              <w:widowControl w:val="0"/>
              <w:autoSpaceDE w:val="0"/>
              <w:autoSpaceDN w:val="0"/>
              <w:adjustRightInd w:val="0"/>
              <w:jc w:val="center"/>
              <w:rPr>
                <w:rFonts w:ascii="Times New Roman" w:hAnsi="Times New Roman"/>
                <w:b/>
                <w:bCs/>
                <w:color w:val="000000"/>
              </w:rPr>
            </w:pPr>
            <w:r w:rsidRPr="000A364C">
              <w:rPr>
                <w:rFonts w:ascii="Times New Roman" w:hAnsi="Times New Roman"/>
                <w:color w:val="000000"/>
              </w:rPr>
              <w:t>Kategoria ruchu</w:t>
            </w:r>
          </w:p>
        </w:tc>
      </w:tr>
      <w:tr w:rsidR="00C318BA" w:rsidRPr="000A364C" w:rsidTr="00C318BA">
        <w:tc>
          <w:tcPr>
            <w:tcW w:w="5070" w:type="dxa"/>
            <w:vMerge/>
          </w:tcPr>
          <w:p w:rsidR="00C318BA" w:rsidRPr="000A364C" w:rsidRDefault="00C318BA" w:rsidP="00C318BA">
            <w:pPr>
              <w:widowControl w:val="0"/>
              <w:autoSpaceDE w:val="0"/>
              <w:autoSpaceDN w:val="0"/>
              <w:adjustRightInd w:val="0"/>
              <w:rPr>
                <w:rFonts w:ascii="Times New Roman" w:hAnsi="Times New Roman"/>
                <w:b/>
                <w:bCs/>
                <w:color w:val="000000"/>
              </w:rPr>
            </w:pPr>
          </w:p>
        </w:tc>
        <w:tc>
          <w:tcPr>
            <w:tcW w:w="4222"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KR1 ÷ KR2</w:t>
            </w:r>
          </w:p>
        </w:tc>
      </w:tr>
      <w:tr w:rsidR="00C318BA" w:rsidRPr="000A364C" w:rsidTr="00C318BA">
        <w:tc>
          <w:tcPr>
            <w:tcW w:w="5070" w:type="dxa"/>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Mieszanka mineralno- asfaltowa o wymiarze D, [mm]</w:t>
            </w:r>
          </w:p>
        </w:tc>
        <w:tc>
          <w:tcPr>
            <w:tcW w:w="4222"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16</w:t>
            </w:r>
          </w:p>
        </w:tc>
      </w:tr>
      <w:tr w:rsidR="004D4534" w:rsidRPr="000A364C" w:rsidTr="00C318BA">
        <w:tc>
          <w:tcPr>
            <w:tcW w:w="5070" w:type="dxa"/>
          </w:tcPr>
          <w:p w:rsidR="004D4534" w:rsidRPr="000A364C" w:rsidRDefault="004D4534" w:rsidP="00C318BA">
            <w:pPr>
              <w:widowControl w:val="0"/>
              <w:autoSpaceDE w:val="0"/>
              <w:autoSpaceDN w:val="0"/>
              <w:adjustRightInd w:val="0"/>
              <w:rPr>
                <w:rFonts w:ascii="Times New Roman" w:hAnsi="Times New Roman"/>
                <w:color w:val="000000"/>
              </w:rPr>
            </w:pPr>
            <w:r>
              <w:rPr>
                <w:rFonts w:ascii="Times New Roman" w:hAnsi="Times New Roman"/>
                <w:color w:val="000000"/>
              </w:rPr>
              <w:t>Granulat asfaltowy o wymiarze U [mm]</w:t>
            </w:r>
          </w:p>
        </w:tc>
        <w:tc>
          <w:tcPr>
            <w:tcW w:w="4222" w:type="dxa"/>
          </w:tcPr>
          <w:p w:rsidR="004D4534"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11, 16</w:t>
            </w:r>
          </w:p>
        </w:tc>
      </w:tr>
      <w:tr w:rsidR="00C318BA" w:rsidRPr="000A364C" w:rsidTr="00C318BA">
        <w:tc>
          <w:tcPr>
            <w:tcW w:w="5070" w:type="dxa"/>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 xml:space="preserve">Lepiszcza asfaltowe </w:t>
            </w:r>
            <w:r w:rsidRPr="000A364C">
              <w:rPr>
                <w:rFonts w:ascii="Times New Roman" w:hAnsi="Times New Roman"/>
                <w:color w:val="000000"/>
                <w:position w:val="10"/>
              </w:rPr>
              <w:t>a)</w:t>
            </w:r>
          </w:p>
        </w:tc>
        <w:tc>
          <w:tcPr>
            <w:tcW w:w="4222"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50/70</w:t>
            </w:r>
          </w:p>
        </w:tc>
      </w:tr>
      <w:tr w:rsidR="00C318BA" w:rsidRPr="000A364C" w:rsidTr="00C318BA">
        <w:tc>
          <w:tcPr>
            <w:tcW w:w="5070" w:type="dxa"/>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Kruszywa mineralne</w:t>
            </w:r>
          </w:p>
        </w:tc>
        <w:tc>
          <w:tcPr>
            <w:tcW w:w="4222" w:type="dxa"/>
          </w:tcPr>
          <w:p w:rsidR="00C318BA" w:rsidRPr="000A364C" w:rsidRDefault="004D4534" w:rsidP="00E32E97">
            <w:pPr>
              <w:widowControl w:val="0"/>
              <w:autoSpaceDE w:val="0"/>
              <w:autoSpaceDN w:val="0"/>
              <w:adjustRightInd w:val="0"/>
              <w:rPr>
                <w:rFonts w:ascii="Times New Roman" w:hAnsi="Times New Roman"/>
                <w:b/>
                <w:bCs/>
                <w:color w:val="000000"/>
              </w:rPr>
            </w:pPr>
            <w:r>
              <w:rPr>
                <w:rFonts w:ascii="Times New Roman" w:hAnsi="Times New Roman"/>
                <w:color w:val="000000"/>
              </w:rPr>
              <w:t xml:space="preserve">Tablice </w:t>
            </w:r>
            <w:r w:rsidR="00E32E97">
              <w:rPr>
                <w:rFonts w:ascii="Times New Roman" w:hAnsi="Times New Roman"/>
                <w:color w:val="000000"/>
              </w:rPr>
              <w:t>2, 2a, 2b, 4,</w:t>
            </w:r>
            <w:r w:rsidR="00C318BA" w:rsidRPr="000A364C">
              <w:rPr>
                <w:rFonts w:ascii="Times New Roman" w:hAnsi="Times New Roman"/>
                <w:color w:val="000000"/>
              </w:rPr>
              <w:t xml:space="preserve"> WT-1 Kruszywa 2010</w:t>
            </w:r>
          </w:p>
        </w:tc>
      </w:tr>
      <w:tr w:rsidR="00C318BA" w:rsidRPr="000A364C" w:rsidTr="00C318BA">
        <w:trPr>
          <w:trHeight w:val="53"/>
        </w:trPr>
        <w:tc>
          <w:tcPr>
            <w:tcW w:w="9292" w:type="dxa"/>
            <w:gridSpan w:val="2"/>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position w:val="10"/>
              </w:rPr>
              <w:t>a)</w:t>
            </w:r>
            <w:r w:rsidRPr="000A364C">
              <w:rPr>
                <w:rFonts w:ascii="Times New Roman" w:hAnsi="Times New Roman"/>
                <w:color w:val="000000"/>
              </w:rPr>
              <w:t xml:space="preserve"> na podstawie aprobat technicznych mogą być stosowane także inne lepiszcza nienormowe</w:t>
            </w:r>
          </w:p>
        </w:tc>
      </w:tr>
    </w:tbl>
    <w:p w:rsidR="00C318BA" w:rsidRPr="005A12B6" w:rsidRDefault="00C318BA" w:rsidP="00C318BA">
      <w:pPr>
        <w:widowControl w:val="0"/>
        <w:autoSpaceDE w:val="0"/>
        <w:autoSpaceDN w:val="0"/>
        <w:adjustRightInd w:val="0"/>
        <w:spacing w:before="29" w:after="0" w:line="240" w:lineRule="auto"/>
        <w:rPr>
          <w:rFonts w:ascii="Arial" w:hAnsi="Arial" w:cs="Arial"/>
          <w:sz w:val="24"/>
          <w:szCs w:val="24"/>
        </w:rPr>
      </w:pPr>
      <w:r w:rsidRPr="005A12B6">
        <w:rPr>
          <w:rFonts w:ascii="Times New Roman" w:hAnsi="Times New Roman"/>
          <w:b/>
          <w:bCs/>
          <w:i/>
          <w:iCs/>
          <w:color w:val="000000"/>
          <w:sz w:val="24"/>
          <w:szCs w:val="24"/>
        </w:rPr>
        <w:t xml:space="preserve">5.2.1. Projektowanie mieszanki mineralnej </w:t>
      </w:r>
    </w:p>
    <w:p w:rsidR="00C318BA" w:rsidRPr="005A12B6" w:rsidRDefault="00C318BA" w:rsidP="00C318BA">
      <w:pPr>
        <w:widowControl w:val="0"/>
        <w:autoSpaceDE w:val="0"/>
        <w:autoSpaceDN w:val="0"/>
        <w:adjustRightInd w:val="0"/>
        <w:spacing w:before="50" w:after="0" w:line="240" w:lineRule="auto"/>
        <w:jc w:val="both"/>
        <w:rPr>
          <w:rFonts w:ascii="Arial" w:hAnsi="Arial" w:cs="Arial"/>
          <w:sz w:val="24"/>
          <w:szCs w:val="24"/>
        </w:rPr>
      </w:pPr>
      <w:r w:rsidRPr="005A12B6">
        <w:rPr>
          <w:rFonts w:ascii="Times New Roman" w:hAnsi="Times New Roman"/>
          <w:color w:val="000000"/>
          <w:sz w:val="24"/>
          <w:szCs w:val="24"/>
        </w:rPr>
        <w:t xml:space="preserve">Zalecane uziarnienie mieszanki mineralnej oraz zawartość lepiszcza w betonie </w:t>
      </w:r>
      <w:r w:rsidR="00117542">
        <w:rPr>
          <w:rFonts w:ascii="Times New Roman" w:hAnsi="Times New Roman"/>
          <w:color w:val="000000"/>
          <w:sz w:val="24"/>
          <w:szCs w:val="24"/>
        </w:rPr>
        <w:t>asfaltowym do warstwy wiążącej i wyrównawczej</w:t>
      </w:r>
      <w:r w:rsidRPr="005A12B6">
        <w:rPr>
          <w:rFonts w:ascii="Times New Roman" w:hAnsi="Times New Roman"/>
          <w:color w:val="000000"/>
          <w:sz w:val="24"/>
          <w:szCs w:val="24"/>
        </w:rPr>
        <w:t xml:space="preserve"> podano w tablicy nr 6. </w:t>
      </w:r>
    </w:p>
    <w:p w:rsidR="00C318BA" w:rsidRDefault="00C318BA" w:rsidP="00C318BA">
      <w:pPr>
        <w:widowControl w:val="0"/>
        <w:autoSpaceDE w:val="0"/>
        <w:autoSpaceDN w:val="0"/>
        <w:adjustRightInd w:val="0"/>
        <w:spacing w:after="0" w:line="240" w:lineRule="auto"/>
        <w:rPr>
          <w:rFonts w:ascii="Times New Roman" w:hAnsi="Times New Roman"/>
          <w:color w:val="000000"/>
          <w:sz w:val="24"/>
          <w:szCs w:val="24"/>
        </w:rPr>
      </w:pPr>
    </w:p>
    <w:p w:rsidR="00C318BA" w:rsidRDefault="00C318BA" w:rsidP="00C318BA">
      <w:pPr>
        <w:widowControl w:val="0"/>
        <w:autoSpaceDE w:val="0"/>
        <w:autoSpaceDN w:val="0"/>
        <w:adjustRightInd w:val="0"/>
        <w:spacing w:after="0" w:line="240" w:lineRule="auto"/>
        <w:ind w:left="1410" w:hanging="1410"/>
        <w:jc w:val="both"/>
        <w:rPr>
          <w:rFonts w:ascii="Times New Roman" w:hAnsi="Times New Roman"/>
          <w:b/>
          <w:bCs/>
          <w:color w:val="000000"/>
          <w:sz w:val="24"/>
          <w:szCs w:val="24"/>
        </w:rPr>
      </w:pPr>
      <w:r>
        <w:rPr>
          <w:rFonts w:ascii="Times New Roman" w:hAnsi="Times New Roman"/>
          <w:b/>
          <w:bCs/>
          <w:color w:val="000000"/>
          <w:sz w:val="24"/>
          <w:szCs w:val="24"/>
        </w:rPr>
        <w:t>Tablica 6.</w:t>
      </w:r>
      <w:r>
        <w:rPr>
          <w:rFonts w:ascii="Times New Roman" w:hAnsi="Times New Roman"/>
          <w:b/>
          <w:bCs/>
          <w:color w:val="000000"/>
          <w:sz w:val="24"/>
          <w:szCs w:val="24"/>
        </w:rPr>
        <w:tab/>
      </w:r>
      <w:r w:rsidRPr="005A12B6">
        <w:rPr>
          <w:rFonts w:ascii="Times New Roman" w:hAnsi="Times New Roman"/>
          <w:b/>
          <w:bCs/>
          <w:color w:val="000000"/>
          <w:sz w:val="24"/>
          <w:szCs w:val="24"/>
        </w:rPr>
        <w:t xml:space="preserve">Uziarnienie mieszanki mineralnej oraz zawartość </w:t>
      </w:r>
      <w:r>
        <w:rPr>
          <w:rFonts w:ascii="Times New Roman" w:hAnsi="Times New Roman"/>
          <w:b/>
          <w:bCs/>
          <w:color w:val="000000"/>
          <w:sz w:val="24"/>
          <w:szCs w:val="24"/>
        </w:rPr>
        <w:t>lepiszcza do betonu asfaltowego</w:t>
      </w:r>
      <w:r w:rsidR="00117542">
        <w:rPr>
          <w:rFonts w:ascii="Times New Roman" w:hAnsi="Times New Roman"/>
          <w:b/>
          <w:bCs/>
          <w:color w:val="000000"/>
          <w:sz w:val="24"/>
          <w:szCs w:val="24"/>
        </w:rPr>
        <w:t xml:space="preserve"> do warstwy wiążącej i wyrównawczej</w:t>
      </w:r>
      <w:r w:rsidRPr="005A12B6">
        <w:rPr>
          <w:rFonts w:ascii="Times New Roman" w:hAnsi="Times New Roman"/>
          <w:b/>
          <w:bCs/>
          <w:color w:val="000000"/>
          <w:sz w:val="24"/>
          <w:szCs w:val="24"/>
        </w:rPr>
        <w:t xml:space="preserve">, KR1÷KR2 </w:t>
      </w:r>
    </w:p>
    <w:p w:rsidR="00C318BA" w:rsidRDefault="00C318BA" w:rsidP="00C318BA">
      <w:pPr>
        <w:widowControl w:val="0"/>
        <w:autoSpaceDE w:val="0"/>
        <w:autoSpaceDN w:val="0"/>
        <w:adjustRightInd w:val="0"/>
        <w:spacing w:after="0" w:line="240" w:lineRule="auto"/>
        <w:jc w:val="both"/>
        <w:rPr>
          <w:rFonts w:ascii="Times New Roman" w:hAnsi="Times New Roman"/>
          <w:b/>
          <w:bCs/>
          <w:color w:val="000000"/>
          <w:sz w:val="24"/>
          <w:szCs w:val="24"/>
        </w:rPr>
      </w:pPr>
    </w:p>
    <w:tbl>
      <w:tblPr>
        <w:tblStyle w:val="Tabela-Siatka"/>
        <w:tblW w:w="0" w:type="auto"/>
        <w:jc w:val="center"/>
        <w:tblLook w:val="04A0" w:firstRow="1" w:lastRow="0" w:firstColumn="1" w:lastColumn="0" w:noHBand="0" w:noVBand="1"/>
      </w:tblPr>
      <w:tblGrid>
        <w:gridCol w:w="4646"/>
        <w:gridCol w:w="2289"/>
        <w:gridCol w:w="2357"/>
      </w:tblGrid>
      <w:tr w:rsidR="00C318BA" w:rsidRPr="00165C84" w:rsidTr="00C318BA">
        <w:trPr>
          <w:jc w:val="center"/>
        </w:trPr>
        <w:tc>
          <w:tcPr>
            <w:tcW w:w="4646" w:type="dxa"/>
            <w:vMerge w:val="restart"/>
          </w:tcPr>
          <w:p w:rsidR="00C318BA" w:rsidRPr="00165C84" w:rsidRDefault="00C318BA" w:rsidP="00C318BA">
            <w:pPr>
              <w:widowControl w:val="0"/>
              <w:autoSpaceDE w:val="0"/>
              <w:autoSpaceDN w:val="0"/>
              <w:adjustRightInd w:val="0"/>
              <w:jc w:val="center"/>
              <w:rPr>
                <w:rFonts w:ascii="Times New Roman" w:hAnsi="Times New Roman"/>
                <w:b/>
                <w:bCs/>
                <w:color w:val="000000"/>
              </w:rPr>
            </w:pPr>
            <w:r w:rsidRPr="00165C84">
              <w:rPr>
                <w:rFonts w:ascii="Times New Roman" w:hAnsi="Times New Roman"/>
                <w:color w:val="000000"/>
              </w:rPr>
              <w:t>Właściwość</w:t>
            </w:r>
          </w:p>
        </w:tc>
        <w:tc>
          <w:tcPr>
            <w:tcW w:w="4646" w:type="dxa"/>
            <w:gridSpan w:val="2"/>
          </w:tcPr>
          <w:p w:rsidR="00C318BA" w:rsidRPr="00165C84" w:rsidRDefault="00C318BA" w:rsidP="00C318BA">
            <w:pPr>
              <w:widowControl w:val="0"/>
              <w:autoSpaceDE w:val="0"/>
              <w:autoSpaceDN w:val="0"/>
              <w:adjustRightInd w:val="0"/>
              <w:jc w:val="center"/>
              <w:rPr>
                <w:rFonts w:ascii="Times New Roman" w:hAnsi="Times New Roman"/>
                <w:b/>
                <w:bCs/>
                <w:color w:val="000000"/>
              </w:rPr>
            </w:pPr>
            <w:r w:rsidRPr="00165C84">
              <w:rPr>
                <w:rFonts w:ascii="Times New Roman" w:hAnsi="Times New Roman"/>
                <w:color w:val="000000"/>
              </w:rPr>
              <w:t>Przesiew, [% (m/m)]</w:t>
            </w:r>
          </w:p>
        </w:tc>
      </w:tr>
      <w:tr w:rsidR="00C318BA" w:rsidRPr="00165C84" w:rsidTr="00C318BA">
        <w:trPr>
          <w:jc w:val="center"/>
        </w:trPr>
        <w:tc>
          <w:tcPr>
            <w:tcW w:w="4646" w:type="dxa"/>
            <w:vMerge/>
          </w:tcPr>
          <w:p w:rsidR="00C318BA" w:rsidRPr="00165C84" w:rsidRDefault="00C318BA" w:rsidP="00C318BA">
            <w:pPr>
              <w:widowControl w:val="0"/>
              <w:autoSpaceDE w:val="0"/>
              <w:autoSpaceDN w:val="0"/>
              <w:adjustRightInd w:val="0"/>
              <w:jc w:val="center"/>
              <w:rPr>
                <w:rFonts w:ascii="Times New Roman" w:hAnsi="Times New Roman"/>
                <w:b/>
                <w:bCs/>
                <w:color w:val="000000"/>
              </w:rPr>
            </w:pPr>
          </w:p>
        </w:tc>
        <w:tc>
          <w:tcPr>
            <w:tcW w:w="4646" w:type="dxa"/>
            <w:gridSpan w:val="2"/>
          </w:tcPr>
          <w:p w:rsidR="00C318BA" w:rsidRPr="00165C84" w:rsidRDefault="00C318BA" w:rsidP="00C318BA">
            <w:pPr>
              <w:widowControl w:val="0"/>
              <w:autoSpaceDE w:val="0"/>
              <w:autoSpaceDN w:val="0"/>
              <w:adjustRightInd w:val="0"/>
              <w:jc w:val="center"/>
              <w:rPr>
                <w:rFonts w:ascii="Arial" w:hAnsi="Arial" w:cs="Arial"/>
              </w:rPr>
            </w:pPr>
            <w:r w:rsidRPr="00165C84">
              <w:rPr>
                <w:rFonts w:ascii="Times New Roman" w:hAnsi="Times New Roman"/>
                <w:color w:val="000000"/>
              </w:rPr>
              <w:t>AC 11 S</w:t>
            </w:r>
          </w:p>
          <w:p w:rsidR="00C318BA" w:rsidRPr="00165C84" w:rsidRDefault="00C318BA" w:rsidP="00C318BA">
            <w:pPr>
              <w:widowControl w:val="0"/>
              <w:autoSpaceDE w:val="0"/>
              <w:autoSpaceDN w:val="0"/>
              <w:adjustRightInd w:val="0"/>
              <w:jc w:val="center"/>
              <w:rPr>
                <w:rFonts w:ascii="Arial" w:hAnsi="Arial" w:cs="Arial"/>
              </w:rPr>
            </w:pPr>
            <w:r w:rsidRPr="00165C84">
              <w:rPr>
                <w:rFonts w:ascii="Times New Roman" w:hAnsi="Times New Roman"/>
                <w:color w:val="000000"/>
              </w:rPr>
              <w:t>KR1 ÷ KR2</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color w:val="000000"/>
              </w:rPr>
              <w:t>Wymiar sita #, [mm]</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od</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do</w:t>
            </w:r>
          </w:p>
        </w:tc>
      </w:tr>
      <w:tr w:rsidR="00C318BA" w:rsidRPr="00165C84" w:rsidTr="00C318BA">
        <w:trPr>
          <w:jc w:val="center"/>
        </w:trPr>
        <w:tc>
          <w:tcPr>
            <w:tcW w:w="4646"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22</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100</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w:t>
            </w:r>
          </w:p>
        </w:tc>
      </w:tr>
      <w:tr w:rsidR="004D4534" w:rsidRPr="00165C84" w:rsidTr="00C318BA">
        <w:trPr>
          <w:jc w:val="center"/>
        </w:trPr>
        <w:tc>
          <w:tcPr>
            <w:tcW w:w="4646" w:type="dxa"/>
          </w:tcPr>
          <w:p w:rsidR="004D4534"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16</w:t>
            </w:r>
          </w:p>
        </w:tc>
        <w:tc>
          <w:tcPr>
            <w:tcW w:w="2289" w:type="dxa"/>
          </w:tcPr>
          <w:p w:rsidR="004D4534"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90</w:t>
            </w:r>
          </w:p>
        </w:tc>
        <w:tc>
          <w:tcPr>
            <w:tcW w:w="2357" w:type="dxa"/>
          </w:tcPr>
          <w:p w:rsidR="004D4534"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100</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11,2</w:t>
            </w:r>
          </w:p>
        </w:tc>
        <w:tc>
          <w:tcPr>
            <w:tcW w:w="2289"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65</w:t>
            </w:r>
          </w:p>
        </w:tc>
        <w:tc>
          <w:tcPr>
            <w:tcW w:w="2357"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80</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8</w:t>
            </w:r>
          </w:p>
        </w:tc>
        <w:tc>
          <w:tcPr>
            <w:tcW w:w="2289"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w:t>
            </w:r>
          </w:p>
        </w:tc>
        <w:tc>
          <w:tcPr>
            <w:tcW w:w="2357"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5,6</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2</w:t>
            </w:r>
          </w:p>
        </w:tc>
        <w:tc>
          <w:tcPr>
            <w:tcW w:w="2289"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25</w:t>
            </w:r>
          </w:p>
        </w:tc>
        <w:tc>
          <w:tcPr>
            <w:tcW w:w="2357"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55</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0,125</w:t>
            </w:r>
          </w:p>
        </w:tc>
        <w:tc>
          <w:tcPr>
            <w:tcW w:w="2289"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5</w:t>
            </w:r>
          </w:p>
        </w:tc>
        <w:tc>
          <w:tcPr>
            <w:tcW w:w="2357"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15</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0,063</w:t>
            </w:r>
          </w:p>
        </w:tc>
        <w:tc>
          <w:tcPr>
            <w:tcW w:w="2289"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3</w:t>
            </w:r>
          </w:p>
        </w:tc>
        <w:tc>
          <w:tcPr>
            <w:tcW w:w="2357"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8</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color w:val="000000"/>
              </w:rPr>
              <w:t>Zawartość lepiszcza, wzór (2)</w:t>
            </w:r>
          </w:p>
        </w:tc>
        <w:tc>
          <w:tcPr>
            <w:tcW w:w="4646" w:type="dxa"/>
            <w:gridSpan w:val="2"/>
          </w:tcPr>
          <w:p w:rsidR="00C318BA" w:rsidRPr="004D4534" w:rsidRDefault="00C318BA" w:rsidP="00C318BA">
            <w:pPr>
              <w:widowControl w:val="0"/>
              <w:autoSpaceDE w:val="0"/>
              <w:autoSpaceDN w:val="0"/>
              <w:adjustRightInd w:val="0"/>
              <w:jc w:val="center"/>
              <w:rPr>
                <w:rFonts w:ascii="Times New Roman" w:hAnsi="Times New Roman"/>
                <w:bCs/>
                <w:color w:val="000000"/>
                <w:vertAlign w:val="subscript"/>
              </w:rPr>
            </w:pPr>
            <w:proofErr w:type="spellStart"/>
            <w:r w:rsidRPr="00C318BA">
              <w:rPr>
                <w:rFonts w:ascii="Times New Roman" w:hAnsi="Times New Roman"/>
                <w:bCs/>
                <w:color w:val="000000"/>
              </w:rPr>
              <w:t>B</w:t>
            </w:r>
            <w:r w:rsidRPr="00C318BA">
              <w:rPr>
                <w:rFonts w:ascii="Times New Roman" w:hAnsi="Times New Roman"/>
                <w:bCs/>
                <w:color w:val="000000"/>
                <w:vertAlign w:val="subscript"/>
              </w:rPr>
              <w:t>mi</w:t>
            </w:r>
            <w:r w:rsidR="004D4534">
              <w:rPr>
                <w:rFonts w:ascii="Times New Roman" w:hAnsi="Times New Roman"/>
                <w:bCs/>
                <w:color w:val="000000"/>
                <w:vertAlign w:val="subscript"/>
              </w:rPr>
              <w:t>n</w:t>
            </w:r>
            <w:proofErr w:type="spellEnd"/>
            <w:r w:rsidR="004D4534">
              <w:rPr>
                <w:rFonts w:ascii="Times New Roman" w:hAnsi="Times New Roman"/>
                <w:bCs/>
                <w:color w:val="000000"/>
                <w:vertAlign w:val="subscript"/>
              </w:rPr>
              <w:t xml:space="preserve"> 4,4</w:t>
            </w:r>
          </w:p>
        </w:tc>
      </w:tr>
    </w:tbl>
    <w:p w:rsidR="00C318BA" w:rsidRPr="005A12B6" w:rsidRDefault="00C318BA" w:rsidP="00C318BA">
      <w:pPr>
        <w:widowControl w:val="0"/>
        <w:autoSpaceDE w:val="0"/>
        <w:autoSpaceDN w:val="0"/>
        <w:adjustRightInd w:val="0"/>
        <w:spacing w:after="0" w:line="240" w:lineRule="auto"/>
        <w:ind w:left="4670"/>
        <w:rPr>
          <w:rFonts w:ascii="Arial" w:hAnsi="Arial" w:cs="Arial"/>
          <w:sz w:val="24"/>
          <w:szCs w:val="24"/>
        </w:rPr>
        <w:sectPr w:rsidR="00C318BA" w:rsidRPr="005A12B6" w:rsidSect="00F91179">
          <w:headerReference w:type="even" r:id="rId10"/>
          <w:headerReference w:type="default" r:id="rId11"/>
          <w:footerReference w:type="even" r:id="rId12"/>
          <w:footerReference w:type="default" r:id="rId13"/>
          <w:headerReference w:type="first" r:id="rId14"/>
          <w:footerReference w:type="first" r:id="rId15"/>
          <w:pgSz w:w="11900" w:h="16840"/>
          <w:pgMar w:top="737" w:right="1127" w:bottom="764" w:left="1589" w:header="708" w:footer="708" w:gutter="0"/>
          <w:pgNumType w:start="107"/>
          <w:cols w:space="708" w:equalWidth="0">
            <w:col w:w="9156"/>
          </w:cols>
          <w:noEndnote/>
        </w:sectPr>
      </w:pPr>
    </w:p>
    <w:p w:rsidR="00C318BA" w:rsidRPr="0033183F"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5.2.2. Wymagania dla zaprojektowanej mieszanki mineralno-asfaltowej </w:t>
      </w:r>
    </w:p>
    <w:p w:rsidR="00C318BA" w:rsidRPr="0033183F" w:rsidRDefault="00C318BA" w:rsidP="00C318BA">
      <w:pPr>
        <w:widowControl w:val="0"/>
        <w:autoSpaceDE w:val="0"/>
        <w:autoSpaceDN w:val="0"/>
        <w:adjustRightInd w:val="0"/>
        <w:spacing w:before="31" w:after="0" w:line="240" w:lineRule="auto"/>
        <w:jc w:val="both"/>
        <w:rPr>
          <w:rFonts w:ascii="Times New Roman" w:hAnsi="Times New Roman"/>
          <w:sz w:val="24"/>
          <w:szCs w:val="24"/>
        </w:rPr>
      </w:pPr>
      <w:r w:rsidRPr="0033183F">
        <w:rPr>
          <w:rFonts w:ascii="Times New Roman" w:hAnsi="Times New Roman"/>
          <w:color w:val="000000"/>
          <w:sz w:val="24"/>
          <w:szCs w:val="24"/>
        </w:rPr>
        <w:t>Beton</w:t>
      </w:r>
      <w:r w:rsidR="00117542">
        <w:rPr>
          <w:rFonts w:ascii="Times New Roman" w:hAnsi="Times New Roman"/>
          <w:color w:val="000000"/>
          <w:sz w:val="24"/>
          <w:szCs w:val="24"/>
        </w:rPr>
        <w:t xml:space="preserve"> asfaltowy do warstwy wiążącej i wyrównawczej</w:t>
      </w:r>
      <w:r w:rsidRPr="0033183F">
        <w:rPr>
          <w:rFonts w:ascii="Times New Roman" w:hAnsi="Times New Roman"/>
          <w:color w:val="000000"/>
          <w:sz w:val="24"/>
          <w:szCs w:val="24"/>
        </w:rPr>
        <w:t xml:space="preserve"> powinien spełniać wymagania podane w tablicy nr 7. </w:t>
      </w:r>
    </w:p>
    <w:p w:rsidR="00C318BA"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Pr="0033183F"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C318BA" w:rsidRDefault="00C318BA" w:rsidP="00C318BA">
      <w:pPr>
        <w:widowControl w:val="0"/>
        <w:autoSpaceDE w:val="0"/>
        <w:autoSpaceDN w:val="0"/>
        <w:adjustRightInd w:val="0"/>
        <w:spacing w:before="22" w:after="197" w:line="240" w:lineRule="auto"/>
        <w:ind w:left="1410" w:hanging="1410"/>
        <w:jc w:val="both"/>
        <w:rPr>
          <w:rFonts w:ascii="Times New Roman" w:hAnsi="Times New Roman"/>
          <w:b/>
          <w:bCs/>
          <w:color w:val="000000"/>
          <w:sz w:val="24"/>
          <w:szCs w:val="24"/>
        </w:rPr>
      </w:pPr>
      <w:r w:rsidRPr="0033183F">
        <w:rPr>
          <w:rFonts w:ascii="Times New Roman" w:hAnsi="Times New Roman"/>
          <w:b/>
          <w:bCs/>
          <w:color w:val="000000"/>
          <w:sz w:val="24"/>
          <w:szCs w:val="24"/>
        </w:rPr>
        <w:t>Tablica 7.</w:t>
      </w:r>
      <w:r>
        <w:rPr>
          <w:rFonts w:ascii="Times New Roman" w:hAnsi="Times New Roman"/>
          <w:b/>
          <w:bCs/>
          <w:color w:val="000000"/>
          <w:sz w:val="24"/>
          <w:szCs w:val="24"/>
        </w:rPr>
        <w:tab/>
      </w:r>
      <w:r w:rsidRPr="0033183F">
        <w:rPr>
          <w:rFonts w:ascii="Times New Roman" w:hAnsi="Times New Roman"/>
          <w:b/>
          <w:bCs/>
          <w:color w:val="000000"/>
          <w:sz w:val="24"/>
          <w:szCs w:val="24"/>
        </w:rPr>
        <w:t xml:space="preserve">Wymagane właściwości betonu asfaltowego do warstwy </w:t>
      </w:r>
      <w:r w:rsidR="004D4534">
        <w:rPr>
          <w:rFonts w:ascii="Times New Roman" w:hAnsi="Times New Roman"/>
          <w:b/>
          <w:bCs/>
          <w:color w:val="000000"/>
          <w:sz w:val="24"/>
          <w:szCs w:val="24"/>
        </w:rPr>
        <w:t>wiążącej i wyrównawczej</w:t>
      </w:r>
      <w:r w:rsidRPr="0033183F">
        <w:rPr>
          <w:rFonts w:ascii="Times New Roman" w:hAnsi="Times New Roman"/>
          <w:b/>
          <w:bCs/>
          <w:color w:val="000000"/>
          <w:sz w:val="24"/>
          <w:szCs w:val="24"/>
        </w:rPr>
        <w:t>, KR1÷KR2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985"/>
        <w:gridCol w:w="2551"/>
        <w:gridCol w:w="2694"/>
        <w:gridCol w:w="1559"/>
      </w:tblGrid>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lastRenderedPageBreak/>
              <w:t>Lp</w:t>
            </w:r>
            <w:r>
              <w:rPr>
                <w:rFonts w:ascii="Times New Roman" w:hAnsi="Times New Roman"/>
                <w:sz w:val="22"/>
                <w:szCs w:val="22"/>
              </w:rPr>
              <w:t>.</w:t>
            </w:r>
          </w:p>
        </w:tc>
        <w:tc>
          <w:tcPr>
            <w:tcW w:w="1985"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Właściwość</w:t>
            </w:r>
          </w:p>
        </w:tc>
        <w:tc>
          <w:tcPr>
            <w:tcW w:w="2551"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Warunki zagęszczania wg PN-EN 13108-20</w:t>
            </w:r>
          </w:p>
        </w:tc>
        <w:tc>
          <w:tcPr>
            <w:tcW w:w="2694"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Metoda i warunki badania</w:t>
            </w:r>
          </w:p>
        </w:tc>
        <w:tc>
          <w:tcPr>
            <w:tcW w:w="1559"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AC 11 S</w:t>
            </w:r>
          </w:p>
        </w:tc>
      </w:tr>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1</w:t>
            </w:r>
          </w:p>
        </w:tc>
        <w:tc>
          <w:tcPr>
            <w:tcW w:w="1985"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hAnsi="Times New Roman"/>
                <w:sz w:val="22"/>
                <w:szCs w:val="22"/>
              </w:rPr>
              <w:t>Zawartość wolnej przestrzeni</w:t>
            </w:r>
          </w:p>
        </w:tc>
        <w:tc>
          <w:tcPr>
            <w:tcW w:w="2551"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hAnsi="Times New Roman"/>
                <w:sz w:val="22"/>
                <w:szCs w:val="22"/>
              </w:rPr>
              <w:t>Ubijanie 2x50 uderzeń, temperatura zagęszczania 140 ± 5</w:t>
            </w:r>
            <w:r w:rsidRPr="00165C84">
              <w:rPr>
                <w:rFonts w:ascii="Times New Roman" w:hAnsi="Times New Roman"/>
                <w:sz w:val="22"/>
                <w:szCs w:val="22"/>
                <w:vertAlign w:val="superscript"/>
              </w:rPr>
              <w:t>0</w:t>
            </w:r>
            <w:r w:rsidRPr="00165C84">
              <w:rPr>
                <w:rFonts w:ascii="Times New Roman" w:hAnsi="Times New Roman"/>
                <w:sz w:val="22"/>
                <w:szCs w:val="22"/>
              </w:rPr>
              <w:t>C</w:t>
            </w:r>
          </w:p>
        </w:tc>
        <w:tc>
          <w:tcPr>
            <w:tcW w:w="2694" w:type="dxa"/>
          </w:tcPr>
          <w:p w:rsidR="00C318BA" w:rsidRPr="00165C84" w:rsidRDefault="00C318BA" w:rsidP="00C318BA">
            <w:pPr>
              <w:pStyle w:val="Tekstpodstawowy"/>
              <w:jc w:val="left"/>
              <w:rPr>
                <w:rFonts w:ascii="Times New Roman" w:hAnsi="Times New Roman"/>
                <w:sz w:val="22"/>
                <w:szCs w:val="22"/>
                <w:lang w:val="de-DE"/>
              </w:rPr>
            </w:pPr>
            <w:r w:rsidRPr="00165C84">
              <w:rPr>
                <w:rFonts w:ascii="Times New Roman" w:hAnsi="Times New Roman"/>
                <w:sz w:val="22"/>
                <w:szCs w:val="22"/>
                <w:lang w:val="de-DE"/>
              </w:rPr>
              <w:t>PN-EN 12697-8</w:t>
            </w:r>
          </w:p>
        </w:tc>
        <w:tc>
          <w:tcPr>
            <w:tcW w:w="1559" w:type="dxa"/>
          </w:tcPr>
          <w:p w:rsidR="00C318BA" w:rsidRPr="00165C84" w:rsidRDefault="00C318BA" w:rsidP="00C318BA">
            <w:pPr>
              <w:pStyle w:val="Tekstpodstawowy"/>
              <w:jc w:val="center"/>
              <w:rPr>
                <w:rFonts w:ascii="Times New Roman" w:hAnsi="Times New Roman"/>
                <w:sz w:val="22"/>
                <w:szCs w:val="22"/>
                <w:vertAlign w:val="subscript"/>
                <w:lang w:val="de-DE"/>
              </w:rPr>
            </w:pPr>
            <w:r w:rsidRPr="00165C84">
              <w:rPr>
                <w:rFonts w:ascii="Times New Roman" w:hAnsi="Times New Roman"/>
                <w:sz w:val="22"/>
                <w:szCs w:val="22"/>
                <w:lang w:val="de-DE"/>
              </w:rPr>
              <w:t>V</w:t>
            </w:r>
            <w:r w:rsidR="004D4534">
              <w:rPr>
                <w:rFonts w:ascii="Times New Roman" w:hAnsi="Times New Roman"/>
                <w:sz w:val="22"/>
                <w:szCs w:val="22"/>
                <w:vertAlign w:val="subscript"/>
                <w:lang w:val="de-DE"/>
              </w:rPr>
              <w:t>min3,0</w:t>
            </w:r>
          </w:p>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V</w:t>
            </w:r>
            <w:r w:rsidR="004D4534">
              <w:rPr>
                <w:rFonts w:ascii="Times New Roman" w:hAnsi="Times New Roman"/>
                <w:sz w:val="22"/>
                <w:szCs w:val="22"/>
                <w:vertAlign w:val="subscript"/>
              </w:rPr>
              <w:t>max6</w:t>
            </w:r>
            <w:r w:rsidRPr="00165C84">
              <w:rPr>
                <w:rFonts w:ascii="Times New Roman" w:hAnsi="Times New Roman"/>
                <w:sz w:val="22"/>
                <w:szCs w:val="22"/>
                <w:vertAlign w:val="subscript"/>
              </w:rPr>
              <w:t>,0</w:t>
            </w:r>
          </w:p>
        </w:tc>
      </w:tr>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2</w:t>
            </w:r>
          </w:p>
        </w:tc>
        <w:tc>
          <w:tcPr>
            <w:tcW w:w="1985" w:type="dxa"/>
          </w:tcPr>
          <w:p w:rsidR="00C318BA" w:rsidRPr="00165C84" w:rsidRDefault="00C318BA" w:rsidP="00C318BA">
            <w:pPr>
              <w:autoSpaceDE w:val="0"/>
              <w:autoSpaceDN w:val="0"/>
              <w:adjustRightInd w:val="0"/>
              <w:spacing w:after="0" w:line="240" w:lineRule="auto"/>
              <w:rPr>
                <w:rFonts w:ascii="Times New Roman" w:hAnsi="Times New Roman"/>
              </w:rPr>
            </w:pPr>
            <w:r w:rsidRPr="00165C84">
              <w:rPr>
                <w:rFonts w:ascii="Times New Roman" w:eastAsiaTheme="minorHAnsi" w:hAnsi="Times New Roman"/>
                <w:lang w:eastAsia="en-US"/>
              </w:rPr>
              <w:t>Wolne przestrzenie wypełnione lepiszczem</w:t>
            </w:r>
          </w:p>
        </w:tc>
        <w:tc>
          <w:tcPr>
            <w:tcW w:w="2551"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hAnsi="Times New Roman"/>
                <w:sz w:val="22"/>
                <w:szCs w:val="22"/>
              </w:rPr>
              <w:t>Ubijanie 2x50 uderzeń, temperatura zagęszczania 140 ± 5</w:t>
            </w:r>
            <w:r w:rsidRPr="00165C84">
              <w:rPr>
                <w:rFonts w:ascii="Times New Roman" w:hAnsi="Times New Roman"/>
                <w:sz w:val="22"/>
                <w:szCs w:val="22"/>
                <w:vertAlign w:val="superscript"/>
              </w:rPr>
              <w:t>0</w:t>
            </w:r>
            <w:r w:rsidRPr="00165C84">
              <w:rPr>
                <w:rFonts w:ascii="Times New Roman" w:hAnsi="Times New Roman"/>
                <w:sz w:val="22"/>
                <w:szCs w:val="22"/>
              </w:rPr>
              <w:t>C</w:t>
            </w:r>
          </w:p>
        </w:tc>
        <w:tc>
          <w:tcPr>
            <w:tcW w:w="2694"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eastAsiaTheme="minorHAnsi" w:hAnsi="Times New Roman"/>
                <w:sz w:val="22"/>
                <w:szCs w:val="22"/>
                <w:lang w:eastAsia="en-US"/>
              </w:rPr>
              <w:t>PN-EN 12697-8, p. 5</w:t>
            </w:r>
          </w:p>
        </w:tc>
        <w:tc>
          <w:tcPr>
            <w:tcW w:w="1559" w:type="dxa"/>
          </w:tcPr>
          <w:p w:rsidR="00C318BA" w:rsidRPr="00165C84" w:rsidRDefault="004D4534" w:rsidP="00C318BA">
            <w:pPr>
              <w:autoSpaceDE w:val="0"/>
              <w:autoSpaceDN w:val="0"/>
              <w:adjustRightInd w:val="0"/>
              <w:spacing w:after="0" w:line="240" w:lineRule="auto"/>
              <w:jc w:val="center"/>
              <w:rPr>
                <w:rFonts w:ascii="Times New Roman" w:eastAsiaTheme="minorHAnsi" w:hAnsi="Times New Roman"/>
                <w:lang w:eastAsia="en-US"/>
              </w:rPr>
            </w:pPr>
            <w:r>
              <w:rPr>
                <w:rFonts w:ascii="Times New Roman" w:eastAsiaTheme="minorHAnsi" w:hAnsi="Times New Roman"/>
                <w:lang w:eastAsia="en-US"/>
              </w:rPr>
              <w:t>VFB min 60</w:t>
            </w:r>
          </w:p>
          <w:p w:rsidR="00C318BA" w:rsidRPr="00165C84" w:rsidRDefault="00C318BA" w:rsidP="00C318BA">
            <w:pPr>
              <w:pStyle w:val="Tekstpodstawowy"/>
              <w:jc w:val="center"/>
              <w:rPr>
                <w:rFonts w:ascii="Times New Roman" w:hAnsi="Times New Roman"/>
                <w:sz w:val="22"/>
                <w:szCs w:val="22"/>
              </w:rPr>
            </w:pPr>
            <w:r w:rsidRPr="00165C84">
              <w:rPr>
                <w:rFonts w:ascii="Times New Roman" w:eastAsiaTheme="minorHAnsi" w:hAnsi="Times New Roman"/>
                <w:sz w:val="22"/>
                <w:szCs w:val="22"/>
                <w:lang w:eastAsia="en-US"/>
              </w:rPr>
              <w:t xml:space="preserve">VFB max </w:t>
            </w:r>
            <w:r w:rsidR="004D4534">
              <w:rPr>
                <w:rFonts w:ascii="Times New Roman" w:eastAsiaTheme="minorHAnsi" w:hAnsi="Times New Roman"/>
                <w:sz w:val="22"/>
                <w:szCs w:val="22"/>
                <w:lang w:eastAsia="en-US"/>
              </w:rPr>
              <w:t>80</w:t>
            </w:r>
          </w:p>
        </w:tc>
      </w:tr>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3</w:t>
            </w:r>
          </w:p>
        </w:tc>
        <w:tc>
          <w:tcPr>
            <w:tcW w:w="1985" w:type="dxa"/>
          </w:tcPr>
          <w:p w:rsidR="00C318BA" w:rsidRPr="00165C84" w:rsidRDefault="00C318BA" w:rsidP="00C318BA">
            <w:pPr>
              <w:autoSpaceDE w:val="0"/>
              <w:autoSpaceDN w:val="0"/>
              <w:adjustRightInd w:val="0"/>
              <w:spacing w:after="0" w:line="240" w:lineRule="auto"/>
              <w:rPr>
                <w:rFonts w:ascii="Times New Roman" w:hAnsi="Times New Roman"/>
              </w:rPr>
            </w:pPr>
            <w:r w:rsidRPr="00165C84">
              <w:rPr>
                <w:rFonts w:ascii="Times New Roman" w:eastAsiaTheme="minorHAnsi" w:hAnsi="Times New Roman"/>
                <w:lang w:eastAsia="en-US"/>
              </w:rPr>
              <w:t>Zawarto</w:t>
            </w:r>
            <w:r w:rsidRPr="00165C84">
              <w:rPr>
                <w:rFonts w:ascii="TimesNewRoman" w:eastAsia="TimesNewRoman" w:hAnsi="Times New Roman" w:cs="TimesNewRoman" w:hint="eastAsia"/>
                <w:lang w:eastAsia="en-US"/>
              </w:rPr>
              <w:t>ść</w:t>
            </w:r>
            <w:r>
              <w:rPr>
                <w:rFonts w:ascii="TimesNewRoman" w:eastAsia="TimesNewRoman" w:hAnsi="Times New Roman" w:cs="TimesNewRoman"/>
                <w:lang w:eastAsia="en-US"/>
              </w:rPr>
              <w:t xml:space="preserve"> </w:t>
            </w:r>
            <w:r w:rsidRPr="00165C84">
              <w:rPr>
                <w:rFonts w:ascii="Times New Roman" w:eastAsiaTheme="minorHAnsi" w:hAnsi="Times New Roman"/>
                <w:lang w:eastAsia="en-US"/>
              </w:rPr>
              <w:t>wolnych przestrzeni w mieszance mineralnej</w:t>
            </w:r>
          </w:p>
        </w:tc>
        <w:tc>
          <w:tcPr>
            <w:tcW w:w="2551"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hAnsi="Times New Roman"/>
                <w:sz w:val="22"/>
                <w:szCs w:val="22"/>
              </w:rPr>
              <w:t>Ubijanie 2x50 uderzeń, temperatura zagęszczania 140 ± 5</w:t>
            </w:r>
            <w:r w:rsidRPr="00165C84">
              <w:rPr>
                <w:rFonts w:ascii="Times New Roman" w:hAnsi="Times New Roman"/>
                <w:sz w:val="22"/>
                <w:szCs w:val="22"/>
                <w:vertAlign w:val="superscript"/>
              </w:rPr>
              <w:t>0</w:t>
            </w:r>
            <w:r w:rsidRPr="00165C84">
              <w:rPr>
                <w:rFonts w:ascii="Times New Roman" w:hAnsi="Times New Roman"/>
                <w:sz w:val="22"/>
                <w:szCs w:val="22"/>
              </w:rPr>
              <w:t>C</w:t>
            </w:r>
          </w:p>
        </w:tc>
        <w:tc>
          <w:tcPr>
            <w:tcW w:w="2694"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eastAsiaTheme="minorHAnsi" w:hAnsi="Times New Roman"/>
                <w:sz w:val="22"/>
                <w:szCs w:val="22"/>
                <w:lang w:eastAsia="en-US"/>
              </w:rPr>
              <w:t>PN-EN 12697-8, p. 5</w:t>
            </w:r>
          </w:p>
        </w:tc>
        <w:tc>
          <w:tcPr>
            <w:tcW w:w="1559"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eastAsiaTheme="minorHAnsi" w:hAnsi="Times New Roman"/>
                <w:sz w:val="22"/>
                <w:szCs w:val="22"/>
                <w:lang w:eastAsia="en-US"/>
              </w:rPr>
              <w:t>VMA min 14</w:t>
            </w:r>
          </w:p>
        </w:tc>
      </w:tr>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4</w:t>
            </w:r>
          </w:p>
        </w:tc>
        <w:tc>
          <w:tcPr>
            <w:tcW w:w="1985" w:type="dxa"/>
          </w:tcPr>
          <w:p w:rsidR="00C318BA" w:rsidRPr="00165C84" w:rsidRDefault="00C318BA" w:rsidP="00C318BA">
            <w:pPr>
              <w:autoSpaceDE w:val="0"/>
              <w:autoSpaceDN w:val="0"/>
              <w:adjustRightInd w:val="0"/>
              <w:spacing w:after="0" w:line="240" w:lineRule="auto"/>
              <w:rPr>
                <w:rFonts w:ascii="Times New Roman" w:eastAsiaTheme="minorHAnsi" w:hAnsi="Times New Roman"/>
                <w:lang w:eastAsia="en-US"/>
              </w:rPr>
            </w:pPr>
            <w:r w:rsidRPr="00165C84">
              <w:rPr>
                <w:rFonts w:ascii="Times New Roman" w:eastAsiaTheme="minorHAnsi" w:hAnsi="Times New Roman"/>
                <w:lang w:eastAsia="en-US"/>
              </w:rPr>
              <w:t>Odporno</w:t>
            </w:r>
            <w:r w:rsidRPr="00165C84">
              <w:rPr>
                <w:rFonts w:ascii="TimesNewRoman" w:eastAsia="TimesNewRoman" w:hAnsi="Times New Roman" w:cs="TimesNewRoman" w:hint="eastAsia"/>
                <w:lang w:eastAsia="en-US"/>
              </w:rPr>
              <w:t>ść</w:t>
            </w:r>
            <w:r>
              <w:rPr>
                <w:rFonts w:ascii="TimesNewRoman" w:eastAsia="TimesNewRoman" w:hAnsi="Times New Roman" w:cs="TimesNewRoman"/>
                <w:lang w:eastAsia="en-US"/>
              </w:rPr>
              <w:t xml:space="preserve"> </w:t>
            </w:r>
            <w:r w:rsidRPr="00165C84">
              <w:rPr>
                <w:rFonts w:ascii="Times New Roman" w:eastAsiaTheme="minorHAnsi" w:hAnsi="Times New Roman"/>
                <w:lang w:eastAsia="en-US"/>
              </w:rPr>
              <w:t>na działanie wody</w:t>
            </w:r>
          </w:p>
        </w:tc>
        <w:tc>
          <w:tcPr>
            <w:tcW w:w="2551" w:type="dxa"/>
          </w:tcPr>
          <w:p w:rsidR="00C318BA" w:rsidRPr="00165C84" w:rsidRDefault="00C318BA" w:rsidP="00C318BA">
            <w:pPr>
              <w:autoSpaceDE w:val="0"/>
              <w:autoSpaceDN w:val="0"/>
              <w:adjustRightInd w:val="0"/>
              <w:spacing w:after="0" w:line="240" w:lineRule="auto"/>
              <w:rPr>
                <w:rFonts w:ascii="Times New Roman" w:eastAsiaTheme="minorHAnsi" w:hAnsi="Times New Roman"/>
                <w:lang w:eastAsia="en-US"/>
              </w:rPr>
            </w:pPr>
            <w:r w:rsidRPr="00165C84">
              <w:rPr>
                <w:rFonts w:ascii="Times New Roman" w:eastAsiaTheme="minorHAnsi" w:hAnsi="Times New Roman"/>
                <w:lang w:eastAsia="en-US"/>
              </w:rPr>
              <w:t>C.1.1. ubijanie,</w:t>
            </w:r>
          </w:p>
          <w:p w:rsidR="00C318BA" w:rsidRPr="00165C84" w:rsidRDefault="00C318BA" w:rsidP="00C318BA">
            <w:pPr>
              <w:pStyle w:val="Tekstpodstawowy"/>
              <w:rPr>
                <w:rFonts w:ascii="Times New Roman" w:hAnsi="Times New Roman"/>
                <w:sz w:val="22"/>
                <w:szCs w:val="22"/>
              </w:rPr>
            </w:pPr>
            <w:r w:rsidRPr="00165C84">
              <w:rPr>
                <w:rFonts w:ascii="Times New Roman" w:eastAsiaTheme="minorHAnsi" w:hAnsi="Times New Roman"/>
                <w:sz w:val="22"/>
                <w:szCs w:val="22"/>
                <w:lang w:eastAsia="en-US"/>
              </w:rPr>
              <w:t>2x35 uderze</w:t>
            </w:r>
            <w:r w:rsidRPr="00165C84">
              <w:rPr>
                <w:rFonts w:ascii="TimesNewRoman" w:eastAsia="TimesNewRoman" w:hAnsi="Times New Roman" w:cs="TimesNewRoman" w:hint="eastAsia"/>
                <w:sz w:val="22"/>
                <w:szCs w:val="22"/>
                <w:lang w:eastAsia="en-US"/>
              </w:rPr>
              <w:t>ń</w:t>
            </w:r>
            <w:r w:rsidRPr="00165C84">
              <w:rPr>
                <w:rFonts w:ascii="Times New Roman" w:hAnsi="Times New Roman"/>
                <w:sz w:val="22"/>
                <w:szCs w:val="22"/>
              </w:rPr>
              <w:t xml:space="preserve"> --</w:t>
            </w:r>
          </w:p>
        </w:tc>
        <w:tc>
          <w:tcPr>
            <w:tcW w:w="2694" w:type="dxa"/>
          </w:tcPr>
          <w:p w:rsidR="00C318BA" w:rsidRPr="00165C84" w:rsidRDefault="00C318BA" w:rsidP="00C318BA">
            <w:pPr>
              <w:autoSpaceDE w:val="0"/>
              <w:autoSpaceDN w:val="0"/>
              <w:adjustRightInd w:val="0"/>
              <w:spacing w:after="0" w:line="240" w:lineRule="auto"/>
              <w:rPr>
                <w:rFonts w:ascii="Times New Roman" w:eastAsiaTheme="minorHAnsi" w:hAnsi="Times New Roman"/>
                <w:lang w:eastAsia="en-US"/>
              </w:rPr>
            </w:pPr>
            <w:r w:rsidRPr="00165C84">
              <w:rPr>
                <w:rFonts w:ascii="Times New Roman" w:eastAsiaTheme="minorHAnsi" w:hAnsi="Times New Roman"/>
                <w:lang w:eastAsia="en-US"/>
              </w:rPr>
              <w:t>PN-EN 12697-12, przechowywanie w 40°C z jednym cyklem zamra</w:t>
            </w:r>
            <w:r w:rsidRPr="00165C84">
              <w:rPr>
                <w:rFonts w:ascii="TimesNewRoman" w:eastAsia="TimesNewRoman" w:hAnsi="Times New Roman" w:cs="TimesNewRoman" w:hint="eastAsia"/>
                <w:lang w:eastAsia="en-US"/>
              </w:rPr>
              <w:t>ż</w:t>
            </w:r>
            <w:r w:rsidRPr="00165C84">
              <w:rPr>
                <w:rFonts w:ascii="Times New Roman" w:eastAsiaTheme="minorHAnsi" w:hAnsi="Times New Roman"/>
                <w:lang w:eastAsia="en-US"/>
              </w:rPr>
              <w:t xml:space="preserve">ania </w:t>
            </w:r>
            <w:r w:rsidRPr="00165C84">
              <w:rPr>
                <w:rFonts w:ascii="Times New Roman" w:eastAsiaTheme="minorHAnsi" w:hAnsi="Times New Roman"/>
                <w:vertAlign w:val="superscript"/>
                <w:lang w:eastAsia="en-US"/>
              </w:rPr>
              <w:t>a)</w:t>
            </w:r>
            <w:r w:rsidRPr="00165C84">
              <w:rPr>
                <w:rFonts w:ascii="Times New Roman" w:eastAsiaTheme="minorHAnsi" w:hAnsi="Times New Roman"/>
                <w:lang w:eastAsia="en-US"/>
              </w:rPr>
              <w:t>, badanie w 25°C</w:t>
            </w:r>
          </w:p>
        </w:tc>
        <w:tc>
          <w:tcPr>
            <w:tcW w:w="1559"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eastAsiaTheme="minorHAnsi" w:hAnsi="Times New Roman"/>
                <w:i/>
                <w:iCs/>
                <w:sz w:val="22"/>
                <w:szCs w:val="22"/>
                <w:lang w:eastAsia="en-US"/>
              </w:rPr>
              <w:t>ITSR</w:t>
            </w:r>
            <w:r w:rsidR="004D4534">
              <w:rPr>
                <w:rFonts w:ascii="Times New Roman" w:eastAsiaTheme="minorHAnsi" w:hAnsi="Times New Roman"/>
                <w:sz w:val="22"/>
                <w:szCs w:val="22"/>
                <w:lang w:eastAsia="en-US"/>
              </w:rPr>
              <w:t xml:space="preserve"> 80</w:t>
            </w:r>
          </w:p>
        </w:tc>
      </w:tr>
    </w:tbl>
    <w:p w:rsidR="00C318BA" w:rsidRPr="004D4534" w:rsidRDefault="00C318BA" w:rsidP="00C318BA">
      <w:pPr>
        <w:widowControl w:val="0"/>
        <w:autoSpaceDE w:val="0"/>
        <w:autoSpaceDN w:val="0"/>
        <w:adjustRightInd w:val="0"/>
        <w:spacing w:before="46" w:after="0" w:line="240" w:lineRule="auto"/>
        <w:ind w:left="41"/>
        <w:jc w:val="both"/>
        <w:rPr>
          <w:rFonts w:ascii="Times New Roman" w:hAnsi="Times New Roman"/>
          <w:sz w:val="18"/>
          <w:szCs w:val="18"/>
        </w:rPr>
      </w:pPr>
      <w:r w:rsidRPr="004D4534">
        <w:rPr>
          <w:rFonts w:ascii="Times New Roman" w:hAnsi="Times New Roman"/>
          <w:color w:val="000000"/>
          <w:position w:val="10"/>
          <w:sz w:val="18"/>
          <w:szCs w:val="18"/>
        </w:rPr>
        <w:t>a)</w:t>
      </w:r>
      <w:r w:rsidRPr="004D4534">
        <w:rPr>
          <w:rFonts w:ascii="Times New Roman" w:hAnsi="Times New Roman"/>
          <w:color w:val="000000"/>
          <w:sz w:val="18"/>
          <w:szCs w:val="18"/>
        </w:rPr>
        <w:t xml:space="preserve"> Ujednoliconą procedurę badania odporności na działanie wody z jednym cyklem zamrażania podano w załączniku 1 WT-2</w:t>
      </w:r>
    </w:p>
    <w:p w:rsidR="00C318BA" w:rsidRPr="0033183F" w:rsidRDefault="00C318BA" w:rsidP="00C318BA">
      <w:pPr>
        <w:widowControl w:val="0"/>
        <w:autoSpaceDE w:val="0"/>
        <w:autoSpaceDN w:val="0"/>
        <w:adjustRightInd w:val="0"/>
        <w:spacing w:before="53" w:after="0" w:line="240" w:lineRule="auto"/>
        <w:jc w:val="both"/>
        <w:rPr>
          <w:rFonts w:ascii="Times New Roman" w:hAnsi="Times New Roman"/>
          <w:sz w:val="24"/>
          <w:szCs w:val="24"/>
        </w:rPr>
      </w:pPr>
      <w:r w:rsidRPr="0033183F">
        <w:rPr>
          <w:rFonts w:ascii="Times New Roman" w:hAnsi="Times New Roman"/>
          <w:b/>
          <w:bCs/>
          <w:color w:val="000000"/>
          <w:sz w:val="24"/>
          <w:szCs w:val="24"/>
        </w:rPr>
        <w:t xml:space="preserve">5.3.  Wytwarzanie mieszanek mineralno-asfaltowych </w:t>
      </w:r>
    </w:p>
    <w:p w:rsidR="00C318BA" w:rsidRPr="0033183F"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Wymagania dla wytwórni i produkcji mieszanki mineralno-asfaltowej  zgodnie z „WT-2 Nawierzchnie asfaltowe 2010". Mieszankę mineralno-asfaltową należy wytworzyć na gorąco w otaczarce (zespole maszyn i urządzeń dozowania, podgrzewania i mieszania składników oraz przechowywania gotowej mieszanki).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Kruszywo o różnym uziarnieniu lub pochodzeniu należy składować oddzielnie według wymiaru i chronić przed zanieczyszczeniem. Wypełniacz należy przechowywać w suchych warunkach.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Dozowanie składników mieszanki mineralno-asfaltowej w otaczarkach, w tym także wstępne, powinno być zautomatyzowane i zgodne z receptą roboczą, a urządzenia do dozowania składników oraz pomiaru temperatury powinny być okresowo sprawdzane. Lepiszcze asfaltowe należy przechowywać w zbiorniku z pośrednim systemem ogrzewania, z układem termostatowania zapewniającym utrzymanie żądanej temperatury z dokładnością ± 5°C. Temperatura lepiszcza asfaltowego w zbiorniku magazynowym (roboczym) nie powinna przekraczać wartości, które podano w tablicy 8.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Default="00C318BA" w:rsidP="004D4534">
      <w:pPr>
        <w:widowControl w:val="0"/>
        <w:autoSpaceDE w:val="0"/>
        <w:autoSpaceDN w:val="0"/>
        <w:adjustRightInd w:val="0"/>
        <w:spacing w:before="22" w:after="252" w:line="240" w:lineRule="auto"/>
        <w:jc w:val="both"/>
        <w:rPr>
          <w:rFonts w:ascii="Times New Roman" w:hAnsi="Times New Roman"/>
          <w:color w:val="000000"/>
          <w:sz w:val="24"/>
          <w:szCs w:val="24"/>
        </w:rPr>
      </w:pPr>
      <w:r>
        <w:rPr>
          <w:rFonts w:ascii="Times New Roman" w:hAnsi="Times New Roman"/>
          <w:b/>
          <w:bCs/>
          <w:color w:val="000000"/>
          <w:sz w:val="24"/>
          <w:szCs w:val="24"/>
        </w:rPr>
        <w:t>Tablica 8.</w:t>
      </w:r>
      <w:r>
        <w:rPr>
          <w:rFonts w:ascii="Times New Roman" w:hAnsi="Times New Roman"/>
          <w:b/>
          <w:bCs/>
          <w:color w:val="000000"/>
          <w:sz w:val="24"/>
          <w:szCs w:val="24"/>
        </w:rPr>
        <w:tab/>
      </w:r>
      <w:r w:rsidRPr="0033183F">
        <w:rPr>
          <w:rFonts w:ascii="Times New Roman" w:hAnsi="Times New Roman"/>
          <w:b/>
          <w:bCs/>
          <w:color w:val="000000"/>
          <w:sz w:val="24"/>
          <w:szCs w:val="24"/>
        </w:rPr>
        <w:t>Najwyższa temperatura lepiszcza asfaltowego w z</w:t>
      </w:r>
      <w:r>
        <w:rPr>
          <w:rFonts w:ascii="Times New Roman" w:hAnsi="Times New Roman"/>
          <w:b/>
          <w:bCs/>
          <w:color w:val="000000"/>
          <w:sz w:val="24"/>
          <w:szCs w:val="24"/>
        </w:rPr>
        <w:t>biorniku magazynowym (roboczym)</w:t>
      </w:r>
    </w:p>
    <w:tbl>
      <w:tblPr>
        <w:tblStyle w:val="Tabela-Siatka"/>
        <w:tblW w:w="0" w:type="auto"/>
        <w:tblLook w:val="04A0" w:firstRow="1" w:lastRow="0" w:firstColumn="1" w:lastColumn="0" w:noHBand="0" w:noVBand="1"/>
      </w:tblPr>
      <w:tblGrid>
        <w:gridCol w:w="2964"/>
        <w:gridCol w:w="2964"/>
        <w:gridCol w:w="2965"/>
      </w:tblGrid>
      <w:tr w:rsidR="00C318BA" w:rsidRPr="00376320" w:rsidTr="00C318BA">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sidRPr="00376320">
              <w:rPr>
                <w:rFonts w:ascii="Times New Roman" w:hAnsi="Times New Roman"/>
                <w:color w:val="000000"/>
              </w:rPr>
              <w:t>Lepiszcze</w:t>
            </w:r>
          </w:p>
        </w:tc>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sidRPr="00376320">
              <w:rPr>
                <w:rFonts w:ascii="Times New Roman" w:hAnsi="Times New Roman"/>
                <w:color w:val="000000"/>
              </w:rPr>
              <w:t>Rodzaj</w:t>
            </w:r>
          </w:p>
        </w:tc>
        <w:tc>
          <w:tcPr>
            <w:tcW w:w="2965" w:type="dxa"/>
          </w:tcPr>
          <w:p w:rsidR="00C318BA" w:rsidRPr="00376320" w:rsidRDefault="00C318BA" w:rsidP="00C318BA">
            <w:pPr>
              <w:widowControl w:val="0"/>
              <w:autoSpaceDE w:val="0"/>
              <w:autoSpaceDN w:val="0"/>
              <w:adjustRightInd w:val="0"/>
              <w:jc w:val="both"/>
              <w:rPr>
                <w:rFonts w:ascii="Times New Roman" w:hAnsi="Times New Roman"/>
                <w:color w:val="000000"/>
              </w:rPr>
            </w:pPr>
            <w:r w:rsidRPr="00376320">
              <w:rPr>
                <w:rFonts w:ascii="Times New Roman" w:hAnsi="Times New Roman"/>
                <w:color w:val="000000"/>
              </w:rPr>
              <w:t>Najwyższa temperatura [°C]</w:t>
            </w:r>
          </w:p>
        </w:tc>
      </w:tr>
      <w:tr w:rsidR="00C318BA" w:rsidRPr="00376320" w:rsidTr="00C318BA">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Pr>
                <w:rFonts w:ascii="Times New Roman" w:hAnsi="Times New Roman"/>
                <w:color w:val="000000"/>
              </w:rPr>
              <w:t>Asfalt drogowy</w:t>
            </w:r>
          </w:p>
        </w:tc>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Pr>
                <w:rFonts w:ascii="Times New Roman" w:hAnsi="Times New Roman"/>
                <w:color w:val="000000"/>
              </w:rPr>
              <w:t>50/70</w:t>
            </w:r>
          </w:p>
        </w:tc>
        <w:tc>
          <w:tcPr>
            <w:tcW w:w="2965" w:type="dxa"/>
          </w:tcPr>
          <w:p w:rsidR="00C318BA" w:rsidRPr="00376320" w:rsidRDefault="00C318BA" w:rsidP="00C318BA">
            <w:pPr>
              <w:widowControl w:val="0"/>
              <w:autoSpaceDE w:val="0"/>
              <w:autoSpaceDN w:val="0"/>
              <w:adjustRightInd w:val="0"/>
              <w:jc w:val="both"/>
              <w:rPr>
                <w:rFonts w:ascii="Times New Roman" w:hAnsi="Times New Roman"/>
                <w:color w:val="000000"/>
              </w:rPr>
            </w:pPr>
            <w:r>
              <w:rPr>
                <w:rFonts w:ascii="Times New Roman" w:hAnsi="Times New Roman"/>
                <w:color w:val="000000"/>
              </w:rPr>
              <w:t>180</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sidRPr="0033183F">
        <w:rPr>
          <w:rFonts w:ascii="Times New Roman" w:hAnsi="Times New Roman"/>
          <w:color w:val="000000"/>
          <w:sz w:val="24"/>
          <w:szCs w:val="24"/>
        </w:rPr>
        <w:t>Kruszywo (ewentualnie z wypełniaczem i granulatem asfaltowym) powinno być wysuszone i tak podgrzane, aby mieszanka mineralna uzyskała temperaturę właściwą do otoczenia lepiszczem asfaltowym (ewentualnie rozdrobnienia kawałków granulatu asfaltowego). Temperatura mieszanki mineralnej nie powinna być wyższa o więcej niż 30°C od najwyższej temperatury mieszanki mineralno-asfaltowej podanej w tablicy 9. W tej tablicy najniższa temperatura dotyczy mieszanki mineralno-asfaltowej dostarczonej na miejsce wbudowania, a najwyższa temperatura dotyczy mieszanki mineralno-asfaltowej bezpośrednio po wytworzeniu</w:t>
      </w:r>
      <w:r>
        <w:rPr>
          <w:rFonts w:ascii="Times New Roman" w:hAnsi="Times New Roman"/>
          <w:color w:val="000000"/>
          <w:sz w:val="24"/>
          <w:szCs w:val="24"/>
        </w:rPr>
        <w:t xml:space="preserve"> w wytwórni MMA.</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Default="00C318BA" w:rsidP="007C5844">
      <w:pPr>
        <w:widowControl w:val="0"/>
        <w:autoSpaceDE w:val="0"/>
        <w:autoSpaceDN w:val="0"/>
        <w:adjustRightInd w:val="0"/>
        <w:spacing w:after="0" w:line="240" w:lineRule="auto"/>
        <w:jc w:val="both"/>
        <w:rPr>
          <w:rFonts w:ascii="Times New Roman" w:hAnsi="Times New Roman"/>
          <w:b/>
          <w:bCs/>
          <w:color w:val="000000"/>
          <w:sz w:val="24"/>
          <w:szCs w:val="24"/>
        </w:rPr>
      </w:pPr>
      <w:r w:rsidRPr="0033183F">
        <w:rPr>
          <w:rFonts w:ascii="Times New Roman" w:hAnsi="Times New Roman"/>
          <w:b/>
          <w:bCs/>
          <w:color w:val="000000"/>
          <w:sz w:val="24"/>
          <w:szCs w:val="24"/>
        </w:rPr>
        <w:t>Tablica 9. Najwyższa i najniższa temperatura mieszanki mineralno- asfaltowe</w:t>
      </w:r>
      <w:r w:rsidR="007C5844">
        <w:rPr>
          <w:rFonts w:ascii="Times New Roman" w:hAnsi="Times New Roman"/>
          <w:b/>
          <w:bCs/>
          <w:color w:val="000000"/>
          <w:sz w:val="24"/>
          <w:szCs w:val="24"/>
        </w:rPr>
        <w:t>j</w:t>
      </w:r>
    </w:p>
    <w:p w:rsidR="007C5844" w:rsidRPr="007C5844" w:rsidRDefault="007C5844" w:rsidP="007C5844">
      <w:pPr>
        <w:widowControl w:val="0"/>
        <w:autoSpaceDE w:val="0"/>
        <w:autoSpaceDN w:val="0"/>
        <w:adjustRightInd w:val="0"/>
        <w:spacing w:after="0" w:line="240" w:lineRule="auto"/>
        <w:jc w:val="both"/>
        <w:rPr>
          <w:rFonts w:ascii="Times New Roman" w:hAnsi="Times New Roman"/>
          <w:b/>
          <w:bCs/>
          <w:color w:val="000000"/>
          <w:sz w:val="24"/>
          <w:szCs w:val="24"/>
        </w:rPr>
      </w:pPr>
    </w:p>
    <w:tbl>
      <w:tblPr>
        <w:tblW w:w="5775" w:type="dxa"/>
        <w:tblInd w:w="1318" w:type="dxa"/>
        <w:tblLayout w:type="fixed"/>
        <w:tblCellMar>
          <w:left w:w="0" w:type="dxa"/>
          <w:right w:w="0" w:type="dxa"/>
        </w:tblCellMar>
        <w:tblLook w:val="0000" w:firstRow="0" w:lastRow="0" w:firstColumn="0" w:lastColumn="0" w:noHBand="0" w:noVBand="0"/>
      </w:tblPr>
      <w:tblGrid>
        <w:gridCol w:w="2089"/>
        <w:gridCol w:w="3686"/>
      </w:tblGrid>
      <w:tr w:rsidR="00C318BA" w:rsidRPr="0033183F" w:rsidTr="00C318BA">
        <w:trPr>
          <w:trHeight w:val="205"/>
        </w:trPr>
        <w:tc>
          <w:tcPr>
            <w:tcW w:w="2089" w:type="dxa"/>
            <w:vMerge w:val="restart"/>
            <w:tcBorders>
              <w:top w:val="single" w:sz="4" w:space="0" w:color="auto"/>
              <w:left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Lepiszcze asfaltowe</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color w:val="000000"/>
                <w:sz w:val="24"/>
                <w:szCs w:val="24"/>
              </w:rPr>
            </w:pPr>
            <w:r w:rsidRPr="0033183F">
              <w:rPr>
                <w:rFonts w:ascii="Times New Roman" w:hAnsi="Times New Roman"/>
                <w:color w:val="000000"/>
                <w:sz w:val="24"/>
                <w:szCs w:val="24"/>
              </w:rPr>
              <w:t>Temperatura mieszanki [°C]</w:t>
            </w:r>
          </w:p>
        </w:tc>
      </w:tr>
      <w:tr w:rsidR="00C318BA" w:rsidRPr="0033183F" w:rsidTr="00C318BA">
        <w:trPr>
          <w:trHeight w:val="205"/>
        </w:trPr>
        <w:tc>
          <w:tcPr>
            <w:tcW w:w="2089" w:type="dxa"/>
            <w:vMerge/>
            <w:tcBorders>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color w:val="000000"/>
                <w:sz w:val="24"/>
                <w:szCs w:val="24"/>
              </w:rPr>
            </w:pP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color w:val="000000"/>
                <w:sz w:val="24"/>
                <w:szCs w:val="24"/>
              </w:rPr>
            </w:pPr>
            <w:r>
              <w:rPr>
                <w:rFonts w:ascii="Times New Roman" w:hAnsi="Times New Roman"/>
                <w:color w:val="000000"/>
                <w:sz w:val="24"/>
                <w:szCs w:val="24"/>
              </w:rPr>
              <w:t>Beton Asfaltowy AC</w:t>
            </w:r>
          </w:p>
        </w:tc>
      </w:tr>
      <w:tr w:rsidR="00C318BA" w:rsidRPr="0033183F" w:rsidTr="00C318BA">
        <w:trPr>
          <w:trHeight w:val="205"/>
        </w:trPr>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20/30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155 do 195</w:t>
            </w:r>
          </w:p>
        </w:tc>
      </w:tr>
      <w:tr w:rsidR="00C318BA" w:rsidRPr="0033183F" w:rsidTr="00C318BA">
        <w:trPr>
          <w:trHeight w:val="150"/>
        </w:trPr>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35/50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5"/>
              <w:jc w:val="center"/>
              <w:rPr>
                <w:rFonts w:ascii="Times New Roman" w:hAnsi="Times New Roman"/>
                <w:sz w:val="24"/>
                <w:szCs w:val="24"/>
              </w:rPr>
            </w:pPr>
            <w:r w:rsidRPr="0033183F">
              <w:rPr>
                <w:rFonts w:ascii="Times New Roman" w:hAnsi="Times New Roman"/>
                <w:color w:val="000000"/>
                <w:sz w:val="24"/>
                <w:szCs w:val="24"/>
              </w:rPr>
              <w:t>od 155 do 195</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b/>
                <w:bCs/>
                <w:color w:val="000000"/>
                <w:sz w:val="24"/>
                <w:szCs w:val="24"/>
              </w:rPr>
              <w:t>50/70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b/>
                <w:bCs/>
                <w:color w:val="000000"/>
                <w:sz w:val="24"/>
                <w:szCs w:val="24"/>
              </w:rPr>
              <w:t>od 140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70/100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140 do 180</w:t>
            </w:r>
          </w:p>
        </w:tc>
      </w:tr>
      <w:tr w:rsidR="00C318BA" w:rsidRPr="0033183F" w:rsidTr="00C318BA">
        <w:trPr>
          <w:trHeight w:val="205"/>
        </w:trPr>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10/40-65</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140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25/55-60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140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45/80-55</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130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45/80-65</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31"/>
              <w:jc w:val="center"/>
              <w:rPr>
                <w:rFonts w:ascii="Times New Roman" w:hAnsi="Times New Roman"/>
                <w:sz w:val="24"/>
                <w:szCs w:val="24"/>
              </w:rPr>
            </w:pPr>
            <w:r>
              <w:rPr>
                <w:rFonts w:ascii="Times New Roman" w:hAnsi="Times New Roman"/>
                <w:color w:val="000000"/>
                <w:sz w:val="24"/>
                <w:szCs w:val="24"/>
              </w:rPr>
              <w:t>od 1</w:t>
            </w:r>
            <w:r w:rsidRPr="0033183F">
              <w:rPr>
                <w:rFonts w:ascii="Times New Roman" w:hAnsi="Times New Roman"/>
                <w:color w:val="000000"/>
                <w:sz w:val="24"/>
                <w:szCs w:val="24"/>
              </w:rPr>
              <w:t>30dol80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65/105-60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130 do 170</w:t>
            </w:r>
          </w:p>
        </w:tc>
      </w:tr>
    </w:tbl>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33183F" w:rsidRDefault="00C318BA" w:rsidP="00C318BA">
      <w:pPr>
        <w:widowControl w:val="0"/>
        <w:autoSpaceDE w:val="0"/>
        <w:autoSpaceDN w:val="0"/>
        <w:adjustRightInd w:val="0"/>
        <w:spacing w:before="12" w:after="0" w:line="240" w:lineRule="auto"/>
        <w:jc w:val="both"/>
        <w:rPr>
          <w:rFonts w:ascii="Times New Roman" w:hAnsi="Times New Roman"/>
          <w:sz w:val="24"/>
          <w:szCs w:val="24"/>
        </w:rPr>
      </w:pPr>
      <w:r w:rsidRPr="0033183F">
        <w:rPr>
          <w:rFonts w:ascii="Times New Roman" w:hAnsi="Times New Roman"/>
          <w:color w:val="000000"/>
          <w:sz w:val="24"/>
          <w:szCs w:val="24"/>
        </w:rPr>
        <w:t xml:space="preserve">Mieszanka mineralno-asfaltowa przegrzana (z oznakami niebieskiego dymu w czasie wytwarzania) oraz o temperaturze niższej od wymaganej powinna być potraktowana jako odpad produkcyjny.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 Badania typu i ocena zgodności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5.3.1.1.  Badanie typu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color w:val="000000"/>
          <w:sz w:val="24"/>
          <w:szCs w:val="24"/>
        </w:rPr>
        <w:t xml:space="preserve">W celu wykazania, że mieszanka mineralno-asfaltowa o danym składzie spełnia wszystkie wymagania zawarte w niniejszych „WT-2 Nawierzchnie asfaltowe 2010", należy dla każdego składu mieszanki przeprowadzić badanie typu. Badanie typu obejmuje kompletny zestaw badań lub innych procedur, określających przydatność funkcjonalną mieszanek mineralno-asfaltowych na próbkach reprezentatywnych dla typu wyrobu.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color w:val="000000"/>
          <w:sz w:val="24"/>
          <w:szCs w:val="24"/>
        </w:rPr>
        <w:t xml:space="preserve">Badanie typu powinno być przeprowadzone przy pierwszym wprowadzeniu mieszanek mineralno-asfaltowych do obrotu, w celu wykazania zgodności z wymaganiami.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Jeżeli użyto materiały składowe, których właściwości były już określone przez dostawcę materiału na podstawie zgodności z innymi dokumentami technicznymi, to właściwości te nie muszą być ponownie sprawdzane pod warunkiem, że przydatność tych materiałów pozostała bez zmian i nie istnieją inne przeciwwskazania.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wypadku wyrobów oznakowanych znakiem CE zgodnie z odpowiednimi zharmonizowanymi specyfikacjami europejskimi można założyć, że mają one właściwości określone w oznakowaniu CE, jednak nie zwalnia to producenta z odpowiedzialności za zapewnienie, że mieszanka mineralno- asfaltowa jako całość spełnia odpowiednie wartości deklarowane.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Normy Europejskie na mieszanki mineralno-asfaltowe zawierają każdorazowo pewną liczbę wymagań odnośnie właściwości fizycznych i mechanicznych. Niektóre z nich są wyrażone przez bezpośrednie pomiary właściwości mechanicznych, takich jak sztywność lub odporność na deformacje, podczas gdy inne są w formie właściwości zastępczych,  takich jak zawartość  asfaltu  lub  zawartość  wolnych przestrzeni.  Podczas przeprowadzania procedury badania typu producent powinien dostarczyć dowód spełnienia każdego odpowiedniego wymagania w danym dokumencie technicznym, z którym deklaruje zgodność.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Normy wyrobów dopuszczają zastosowanie podejścia grupowego w zakresie badania typu.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Oznacza ono, że w wypadku, gdy nastąpiła zamiana składnika mieszanki mineralno-asfaltowej i istnieją uzasadnione przesłanki, że dana właściwość nie ulegnie pogorszeniu oraz przy zachowaniu tej samej wymaganej kategorii właściwości, to nie jest konieczne badanie tej właściwości w ramach badania typu.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wypadku wyboru podejścia grupowego należy ograniczyć się do korelacji pomiędzy składami mieszanek o podobnych właściwościach objętościowych i identycznych składach, z wyjątkiem rodzaju lepiszcza. W takim wypadku można przyjąć, że twardsze lepiszcza zapewnią odporność na deformacje i sztywność mieszanki, co najmniej tak dobrą, jak z bardziej miękkimi asfaltami. Na przykład beton asfaltowy z asfaltem 70/100 spełnia </w:t>
      </w:r>
      <w:r w:rsidRPr="0033183F">
        <w:rPr>
          <w:rFonts w:ascii="Times New Roman" w:hAnsi="Times New Roman"/>
          <w:color w:val="000000"/>
          <w:sz w:val="24"/>
          <w:szCs w:val="24"/>
        </w:rPr>
        <w:lastRenderedPageBreak/>
        <w:t xml:space="preserve">odpowiednie wymagania odporności na deformacje trwałe. Zmiana wyłącznie lepiszcza na twardsze, takie jak 50/70 nie będzie niekorzystnie wpływała na tę właściwość. W takim wypadku nie są konieczne dodatkowe badania tej właściwości przy wymaganej tej samej kategorii właściwości.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Wymagane jest również przeprowadzenie procedury badania typu, jako części Zakładowej kontroli produkcji wg PN-EN 13108-21, p. 4.1, z częstością przynajmniej raz na trzy lata, celem wykazania ciągłej zgodności.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33183F"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5.3.1.2. Okres ważności </w:t>
      </w:r>
    </w:p>
    <w:p w:rsidR="00C318BA" w:rsidRPr="0033183F"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33183F">
        <w:rPr>
          <w:rFonts w:ascii="Times New Roman" w:hAnsi="Times New Roman"/>
          <w:color w:val="000000"/>
          <w:sz w:val="24"/>
          <w:szCs w:val="24"/>
        </w:rPr>
        <w:t xml:space="preserve">Sprawozdanie z badania typu zachowuje ważność dla określonego składu mieszanki do wystąpienia zmiany materiałów składowych, ale nie dłużej, niż przez okres trzech lat.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Badanie typu powinno być powtórzone w wypadku: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upływu trzech lat,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złoża kruszywa, </w:t>
      </w:r>
    </w:p>
    <w:p w:rsidR="00C318BA" w:rsidRDefault="00C318BA" w:rsidP="00C318BA">
      <w:pPr>
        <w:widowControl w:val="0"/>
        <w:autoSpaceDE w:val="0"/>
        <w:autoSpaceDN w:val="0"/>
        <w:adjustRightInd w:val="0"/>
        <w:spacing w:before="36" w:after="0" w:line="240" w:lineRule="auto"/>
        <w:ind w:left="454"/>
        <w:jc w:val="both"/>
        <w:rPr>
          <w:rFonts w:ascii="Times New Roman" w:hAnsi="Times New Roman"/>
          <w:color w:val="000000"/>
          <w:sz w:val="24"/>
          <w:szCs w:val="24"/>
        </w:rPr>
      </w:pPr>
      <w:r w:rsidRPr="0033183F">
        <w:rPr>
          <w:rFonts w:ascii="Times New Roman" w:hAnsi="Times New Roman"/>
          <w:color w:val="000000"/>
          <w:sz w:val="24"/>
          <w:szCs w:val="24"/>
        </w:rPr>
        <w:t xml:space="preserve">- zmiany rodzaju kruszywa (typu petrograficznego),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w:t>
      </w:r>
      <w:r>
        <w:rPr>
          <w:rFonts w:ascii="Times New Roman" w:hAnsi="Times New Roman"/>
          <w:color w:val="000000"/>
          <w:sz w:val="24"/>
          <w:szCs w:val="24"/>
        </w:rPr>
        <w:t>zmiany  kategorii kruszywa</w:t>
      </w:r>
      <w:r w:rsidRPr="0033183F">
        <w:rPr>
          <w:rFonts w:ascii="Times New Roman" w:hAnsi="Times New Roman"/>
          <w:color w:val="000000"/>
          <w:sz w:val="24"/>
          <w:szCs w:val="24"/>
        </w:rPr>
        <w:t xml:space="preserve"> grubego, ja</w:t>
      </w:r>
      <w:r>
        <w:rPr>
          <w:rFonts w:ascii="Times New Roman" w:hAnsi="Times New Roman"/>
          <w:color w:val="000000"/>
          <w:sz w:val="24"/>
          <w:szCs w:val="24"/>
        </w:rPr>
        <w:t xml:space="preserve">k zdefiniowano w PN-EN 13043, jednej z </w:t>
      </w:r>
      <w:r w:rsidRPr="0033183F">
        <w:rPr>
          <w:rFonts w:ascii="Times New Roman" w:hAnsi="Times New Roman"/>
          <w:color w:val="000000"/>
          <w:sz w:val="24"/>
          <w:szCs w:val="24"/>
        </w:rPr>
        <w:t xml:space="preserve">następujących właściwości: kształtu, udziału ziaren częściowo </w:t>
      </w:r>
      <w:proofErr w:type="spellStart"/>
      <w:r w:rsidRPr="0033183F">
        <w:rPr>
          <w:rFonts w:ascii="Times New Roman" w:hAnsi="Times New Roman"/>
          <w:color w:val="000000"/>
          <w:sz w:val="24"/>
          <w:szCs w:val="24"/>
        </w:rPr>
        <w:t>przekruszonych</w:t>
      </w:r>
      <w:proofErr w:type="spellEnd"/>
      <w:r w:rsidRPr="0033183F">
        <w:rPr>
          <w:rFonts w:ascii="Times New Roman" w:hAnsi="Times New Roman"/>
          <w:color w:val="000000"/>
          <w:sz w:val="24"/>
          <w:szCs w:val="24"/>
        </w:rPr>
        <w:t xml:space="preserve">, odporności na rozdrabnianie, odporności na ścieranie lub kanciastości kruszywa drobnego,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gęstości ziaren (średnia ważona) o więcej niż 0,05 Mg/m3,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rodzaju lepiszcza,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typu mineralogicznego wypełniacza,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przekroczenia granicy zakresu zawartości granulatu asfaltowego.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33183F" w:rsidRDefault="00C318BA" w:rsidP="00C318BA">
      <w:pPr>
        <w:widowControl w:val="0"/>
        <w:autoSpaceDE w:val="0"/>
        <w:autoSpaceDN w:val="0"/>
        <w:adjustRightInd w:val="0"/>
        <w:spacing w:before="10"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5.3.1.3. Sprawozdanie </w:t>
      </w:r>
    </w:p>
    <w:p w:rsidR="00C318BA" w:rsidRPr="0033183F"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33183F">
        <w:rPr>
          <w:rFonts w:ascii="Times New Roman" w:hAnsi="Times New Roman"/>
          <w:color w:val="000000"/>
          <w:sz w:val="24"/>
          <w:szCs w:val="24"/>
        </w:rPr>
        <w:t xml:space="preserve">Sprawozdanie z badania typu powinno stanowić część deklaracji zgodności producenta, powinno zawierać wymagane informacje wymienione poniżej oraz powinno być przedstawiane razem z odpowiednimi świadectwami badań.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Pr>
          <w:rFonts w:ascii="Times New Roman" w:hAnsi="Times New Roman"/>
          <w:color w:val="000000"/>
          <w:sz w:val="24"/>
          <w:szCs w:val="24"/>
        </w:rPr>
        <w:t>Sprawozdanie powinno zawierać:</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a) informacje ogólne: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nazwę i adres producenta mieszanki mineralno-asfaltowej;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datę wydania;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nazwę wytwórni produkującej mieszankę mineralno-asfaltowa;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określenie typu mieszanki i kategorii, z którymi jest deklarowana zgodność;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zestawienie metod przygotowania próbek oraz metod i warunków badania poszczególnych właściwości,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b) informacje o składnikach: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Pr>
          <w:rFonts w:ascii="Times New Roman" w:hAnsi="Times New Roman"/>
          <w:color w:val="000000"/>
          <w:sz w:val="24"/>
          <w:szCs w:val="24"/>
        </w:rPr>
        <w:t>-  każdy wymiar kruszywa</w:t>
      </w:r>
      <w:r>
        <w:rPr>
          <w:rFonts w:ascii="Times New Roman" w:hAnsi="Times New Roman"/>
          <w:color w:val="000000"/>
          <w:sz w:val="24"/>
          <w:szCs w:val="24"/>
        </w:rPr>
        <w:tab/>
      </w:r>
      <w:r w:rsidRPr="0033183F">
        <w:rPr>
          <w:rFonts w:ascii="Times New Roman" w:hAnsi="Times New Roman"/>
          <w:color w:val="000000"/>
          <w:sz w:val="24"/>
          <w:szCs w:val="24"/>
        </w:rPr>
        <w:t xml:space="preserve">źródło i rodzaj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lepiszcze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3183F">
        <w:rPr>
          <w:rFonts w:ascii="Times New Roman" w:hAnsi="Times New Roman"/>
          <w:color w:val="000000"/>
          <w:sz w:val="24"/>
          <w:szCs w:val="24"/>
        </w:rPr>
        <w:t xml:space="preserve">typ i rodzaj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wypełniacz </w:t>
      </w:r>
      <w:r>
        <w:rPr>
          <w:rFonts w:ascii="Times New Roman" w:hAnsi="Times New Roman"/>
          <w:color w:val="000000"/>
          <w:sz w:val="24"/>
          <w:szCs w:val="24"/>
        </w:rPr>
        <w:tab/>
      </w:r>
      <w:r>
        <w:rPr>
          <w:rFonts w:ascii="Times New Roman" w:hAnsi="Times New Roman"/>
          <w:color w:val="000000"/>
          <w:sz w:val="24"/>
          <w:szCs w:val="24"/>
        </w:rPr>
        <w:tab/>
      </w:r>
      <w:r w:rsidRPr="0033183F">
        <w:rPr>
          <w:rFonts w:ascii="Times New Roman" w:hAnsi="Times New Roman"/>
          <w:color w:val="000000"/>
          <w:sz w:val="24"/>
          <w:szCs w:val="24"/>
        </w:rPr>
        <w:t xml:space="preserve">źródło i rodzaj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dodatki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3183F">
        <w:rPr>
          <w:rFonts w:ascii="Times New Roman" w:hAnsi="Times New Roman"/>
          <w:color w:val="000000"/>
          <w:sz w:val="24"/>
          <w:szCs w:val="24"/>
        </w:rPr>
        <w:t xml:space="preserve">źródło i rodzaj </w:t>
      </w:r>
    </w:p>
    <w:p w:rsidR="00C318BA" w:rsidRPr="0033183F" w:rsidRDefault="00C318BA" w:rsidP="00C318BA">
      <w:pPr>
        <w:widowControl w:val="0"/>
        <w:autoSpaceDE w:val="0"/>
        <w:autoSpaceDN w:val="0"/>
        <w:adjustRightInd w:val="0"/>
        <w:spacing w:before="36" w:after="0" w:line="240" w:lineRule="auto"/>
        <w:ind w:left="2835" w:hanging="2727"/>
        <w:jc w:val="both"/>
        <w:rPr>
          <w:rFonts w:ascii="Times New Roman" w:hAnsi="Times New Roman"/>
          <w:sz w:val="24"/>
          <w:szCs w:val="24"/>
        </w:rPr>
      </w:pPr>
      <w:r>
        <w:rPr>
          <w:rFonts w:ascii="Times New Roman" w:hAnsi="Times New Roman"/>
          <w:color w:val="000000"/>
          <w:sz w:val="24"/>
          <w:szCs w:val="24"/>
        </w:rPr>
        <w:t>-  destrukt asfaltowy</w:t>
      </w:r>
      <w:r>
        <w:rPr>
          <w:rFonts w:ascii="Times New Roman" w:hAnsi="Times New Roman"/>
          <w:color w:val="000000"/>
          <w:sz w:val="24"/>
          <w:szCs w:val="24"/>
        </w:rPr>
        <w:tab/>
      </w:r>
      <w:r w:rsidRPr="0033183F">
        <w:rPr>
          <w:rFonts w:ascii="Times New Roman" w:hAnsi="Times New Roman"/>
          <w:color w:val="000000"/>
          <w:sz w:val="24"/>
          <w:szCs w:val="24"/>
        </w:rPr>
        <w:t xml:space="preserve">oświadczenie o dopuszczalnym zakresie właściwości i metodach kontroli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wszystkie składniki </w:t>
      </w:r>
      <w:r>
        <w:rPr>
          <w:rFonts w:ascii="Times New Roman" w:hAnsi="Times New Roman"/>
          <w:color w:val="000000"/>
          <w:sz w:val="24"/>
          <w:szCs w:val="24"/>
        </w:rPr>
        <w:tab/>
      </w:r>
      <w:r w:rsidRPr="0033183F">
        <w:rPr>
          <w:rFonts w:ascii="Times New Roman" w:hAnsi="Times New Roman"/>
          <w:color w:val="000000"/>
          <w:sz w:val="24"/>
          <w:szCs w:val="24"/>
        </w:rPr>
        <w:t xml:space="preserve">wyniki badań zgodnie z podanym zestawieniem (tablica 10)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c) informacje o mieszance mineralno-asfaltowej: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skład mieszanki podany jako wejściowy skład (w wypadku walidacji w laboratorium) lub wyjściowy skład (w wypadku walidacji produkcji);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wyniki badań zgodnie z podanym zestawieniem (tablica 11). </w:t>
      </w:r>
    </w:p>
    <w:p w:rsidR="00C318BA" w:rsidRDefault="00C318BA" w:rsidP="00C318BA">
      <w:pPr>
        <w:widowControl w:val="0"/>
        <w:autoSpaceDE w:val="0"/>
        <w:autoSpaceDN w:val="0"/>
        <w:adjustRightInd w:val="0"/>
        <w:spacing w:before="55" w:after="0" w:line="240" w:lineRule="auto"/>
        <w:jc w:val="both"/>
        <w:rPr>
          <w:rFonts w:ascii="Times New Roman" w:hAnsi="Times New Roman"/>
          <w:color w:val="000000"/>
          <w:sz w:val="24"/>
          <w:szCs w:val="24"/>
        </w:rPr>
      </w:pPr>
      <w:r w:rsidRPr="0033183F">
        <w:rPr>
          <w:rFonts w:ascii="Times New Roman" w:hAnsi="Times New Roman"/>
          <w:color w:val="000000"/>
          <w:sz w:val="24"/>
          <w:szCs w:val="24"/>
        </w:rPr>
        <w:lastRenderedPageBreak/>
        <w:t>Tablica 1</w:t>
      </w:r>
      <w:r>
        <w:rPr>
          <w:rFonts w:ascii="Times New Roman" w:hAnsi="Times New Roman"/>
          <w:color w:val="000000"/>
          <w:sz w:val="24"/>
          <w:szCs w:val="24"/>
        </w:rPr>
        <w:t>0</w:t>
      </w:r>
      <w:r w:rsidRPr="0033183F">
        <w:rPr>
          <w:rFonts w:ascii="Times New Roman" w:hAnsi="Times New Roman"/>
          <w:color w:val="000000"/>
          <w:sz w:val="24"/>
          <w:szCs w:val="24"/>
        </w:rPr>
        <w:t xml:space="preserve"> zawiera wszystkie właściwości sprawdzane w badaniu typu. Zestaw badań danej mieszanki powinien uwzględniać metodę projektowania (beton asfaltowy), rodzaj warstwy, przeznaczenie i kategorię ruchu. </w:t>
      </w:r>
    </w:p>
    <w:p w:rsidR="00C318BA" w:rsidRDefault="00C318BA" w:rsidP="00C318BA">
      <w:pPr>
        <w:widowControl w:val="0"/>
        <w:autoSpaceDE w:val="0"/>
        <w:autoSpaceDN w:val="0"/>
        <w:adjustRightInd w:val="0"/>
        <w:spacing w:before="55"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before="55" w:after="0" w:line="240" w:lineRule="auto"/>
        <w:jc w:val="both"/>
        <w:rPr>
          <w:rFonts w:ascii="Times New Roman" w:hAnsi="Times New Roman"/>
          <w:b/>
          <w:bCs/>
          <w:color w:val="000000"/>
          <w:sz w:val="24"/>
          <w:szCs w:val="24"/>
        </w:rPr>
      </w:pPr>
      <w:r>
        <w:rPr>
          <w:rFonts w:ascii="Times New Roman" w:hAnsi="Times New Roman"/>
          <w:b/>
          <w:bCs/>
          <w:color w:val="000000"/>
          <w:sz w:val="24"/>
          <w:szCs w:val="24"/>
        </w:rPr>
        <w:t>Tablica 10.</w:t>
      </w:r>
      <w:r w:rsidRPr="0033183F">
        <w:rPr>
          <w:rFonts w:ascii="Times New Roman" w:hAnsi="Times New Roman"/>
          <w:b/>
          <w:bCs/>
          <w:color w:val="000000"/>
          <w:sz w:val="24"/>
          <w:szCs w:val="24"/>
        </w:rPr>
        <w:t xml:space="preserve"> Rodzaj i liczba badań składników mieszanki mineralno- asfaltowej </w:t>
      </w:r>
    </w:p>
    <w:p w:rsidR="00C318BA" w:rsidRDefault="00C318BA" w:rsidP="00C318BA">
      <w:pPr>
        <w:widowControl w:val="0"/>
        <w:autoSpaceDE w:val="0"/>
        <w:autoSpaceDN w:val="0"/>
        <w:adjustRightInd w:val="0"/>
        <w:spacing w:before="55" w:after="0" w:line="240" w:lineRule="auto"/>
        <w:jc w:val="both"/>
        <w:rPr>
          <w:rFonts w:ascii="Times New Roman" w:hAnsi="Times New Roman"/>
          <w:b/>
          <w:bCs/>
          <w:color w:val="000000"/>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2717"/>
        <w:gridCol w:w="2670"/>
        <w:gridCol w:w="2410"/>
        <w:gridCol w:w="1210"/>
      </w:tblGrid>
      <w:tr w:rsidR="00C318BA" w:rsidRPr="00C7780E" w:rsidTr="00C318BA">
        <w:trPr>
          <w:trHeight w:hRule="exact" w:val="302"/>
        </w:trPr>
        <w:tc>
          <w:tcPr>
            <w:tcW w:w="2717"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ind w:left="974"/>
              <w:jc w:val="both"/>
              <w:rPr>
                <w:rStyle w:val="FontStyle63"/>
                <w:sz w:val="22"/>
                <w:szCs w:val="22"/>
              </w:rPr>
            </w:pPr>
            <w:r w:rsidRPr="00C7780E">
              <w:rPr>
                <w:rStyle w:val="FontStyle63"/>
                <w:sz w:val="22"/>
                <w:szCs w:val="22"/>
              </w:rPr>
              <w:t>Składnik</w:t>
            </w: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ind w:left="754"/>
              <w:jc w:val="both"/>
              <w:rPr>
                <w:rStyle w:val="FontStyle63"/>
                <w:sz w:val="22"/>
                <w:szCs w:val="22"/>
              </w:rPr>
            </w:pPr>
            <w:r w:rsidRPr="00C7780E">
              <w:rPr>
                <w:rStyle w:val="FontStyle63"/>
                <w:sz w:val="22"/>
                <w:szCs w:val="22"/>
              </w:rPr>
              <w:t>Właściwość</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ind w:left="547"/>
              <w:jc w:val="both"/>
              <w:rPr>
                <w:rStyle w:val="FontStyle63"/>
                <w:sz w:val="22"/>
                <w:szCs w:val="22"/>
              </w:rPr>
            </w:pPr>
            <w:r w:rsidRPr="00C7780E">
              <w:rPr>
                <w:rStyle w:val="FontStyle63"/>
                <w:sz w:val="22"/>
                <w:szCs w:val="22"/>
              </w:rPr>
              <w:t>Metoda badania</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Liczba badań</w:t>
            </w:r>
          </w:p>
        </w:tc>
      </w:tr>
      <w:tr w:rsidR="00C318BA" w:rsidRPr="00C7780E" w:rsidTr="00C318BA">
        <w:trPr>
          <w:trHeight w:hRule="exact" w:val="298"/>
        </w:trPr>
        <w:tc>
          <w:tcPr>
            <w:tcW w:w="2717" w:type="dxa"/>
            <w:tcBorders>
              <w:top w:val="single" w:sz="6" w:space="0" w:color="auto"/>
              <w:left w:val="single" w:sz="6" w:space="0" w:color="auto"/>
              <w:bottom w:val="nil"/>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Kruszywo (PN-EN 13043)</w:t>
            </w: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Uziarnienie</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PN-EN 933-1</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 na frakcję</w:t>
            </w:r>
          </w:p>
        </w:tc>
      </w:tr>
      <w:tr w:rsidR="00C318BA" w:rsidRPr="00C7780E" w:rsidTr="00C318BA">
        <w:trPr>
          <w:trHeight w:hRule="exact" w:val="298"/>
        </w:trPr>
        <w:tc>
          <w:tcPr>
            <w:tcW w:w="2717" w:type="dxa"/>
            <w:tcBorders>
              <w:top w:val="nil"/>
              <w:left w:val="single" w:sz="6" w:space="0" w:color="auto"/>
              <w:bottom w:val="single" w:sz="6" w:space="0" w:color="auto"/>
              <w:right w:val="single" w:sz="6" w:space="0" w:color="auto"/>
            </w:tcBorders>
          </w:tcPr>
          <w:p w:rsidR="00C318BA" w:rsidRPr="00C7780E" w:rsidRDefault="00C318BA" w:rsidP="00C318BA">
            <w:pPr>
              <w:jc w:val="both"/>
              <w:rPr>
                <w:rStyle w:val="FontStyle63"/>
                <w:sz w:val="22"/>
                <w:szCs w:val="22"/>
              </w:rPr>
            </w:pPr>
          </w:p>
          <w:p w:rsidR="00C318BA" w:rsidRPr="00C7780E" w:rsidRDefault="00C318BA" w:rsidP="00C318BA">
            <w:pPr>
              <w:jc w:val="both"/>
              <w:rPr>
                <w:rStyle w:val="FontStyle63"/>
                <w:sz w:val="22"/>
                <w:szCs w:val="22"/>
              </w:rPr>
            </w:pP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Gęstość</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PN-EN 1097-6</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 na frakcję</w:t>
            </w:r>
          </w:p>
        </w:tc>
      </w:tr>
      <w:tr w:rsidR="00C318BA" w:rsidRPr="00C7780E" w:rsidTr="00C318BA">
        <w:trPr>
          <w:trHeight w:hRule="exact" w:val="544"/>
        </w:trPr>
        <w:tc>
          <w:tcPr>
            <w:tcW w:w="2717" w:type="dxa"/>
            <w:vMerge w:val="restart"/>
            <w:tcBorders>
              <w:top w:val="single" w:sz="6" w:space="0" w:color="auto"/>
              <w:left w:val="single" w:sz="6" w:space="0" w:color="auto"/>
              <w:right w:val="single" w:sz="6" w:space="0" w:color="auto"/>
            </w:tcBorders>
          </w:tcPr>
          <w:p w:rsidR="00C318BA" w:rsidRPr="00C7780E" w:rsidRDefault="00C318BA" w:rsidP="00C318BA">
            <w:pPr>
              <w:pStyle w:val="Style8"/>
              <w:widowControl/>
              <w:ind w:right="58" w:hanging="5"/>
              <w:jc w:val="both"/>
              <w:rPr>
                <w:rStyle w:val="FontStyle63"/>
                <w:sz w:val="22"/>
                <w:szCs w:val="22"/>
                <w:lang w:val="de-DE"/>
              </w:rPr>
            </w:pPr>
            <w:proofErr w:type="spellStart"/>
            <w:r w:rsidRPr="00C7780E">
              <w:rPr>
                <w:rStyle w:val="FontStyle63"/>
                <w:sz w:val="22"/>
                <w:szCs w:val="22"/>
                <w:lang w:val="de-DE"/>
              </w:rPr>
              <w:t>Lepiszcze</w:t>
            </w:r>
            <w:proofErr w:type="spellEnd"/>
            <w:r w:rsidRPr="00C7780E">
              <w:rPr>
                <w:rStyle w:val="FontStyle63"/>
                <w:sz w:val="22"/>
                <w:szCs w:val="22"/>
                <w:lang w:val="de-DE"/>
              </w:rPr>
              <w:t xml:space="preserve"> (PN-EN 12591, PN-EN 13924, PN-EN 14023)</w:t>
            </w: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ind w:right="99"/>
              <w:jc w:val="both"/>
              <w:rPr>
                <w:rStyle w:val="FontStyle63"/>
                <w:sz w:val="22"/>
                <w:szCs w:val="22"/>
              </w:rPr>
            </w:pPr>
            <w:r w:rsidRPr="00C7780E">
              <w:rPr>
                <w:rStyle w:val="FontStyle63"/>
                <w:sz w:val="22"/>
                <w:szCs w:val="22"/>
              </w:rPr>
              <w:t>Penetracja lub temperatura mięknienia</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jc w:val="both"/>
              <w:rPr>
                <w:rStyle w:val="FontStyle63"/>
                <w:sz w:val="22"/>
                <w:szCs w:val="22"/>
                <w:lang w:val="de-DE"/>
              </w:rPr>
            </w:pPr>
            <w:r w:rsidRPr="00C7780E">
              <w:rPr>
                <w:rStyle w:val="FontStyle63"/>
                <w:sz w:val="22"/>
                <w:szCs w:val="22"/>
                <w:lang w:val="de-DE"/>
              </w:rPr>
              <w:t xml:space="preserve">PN-EN 1426 </w:t>
            </w:r>
            <w:proofErr w:type="spellStart"/>
            <w:r w:rsidRPr="00C7780E">
              <w:rPr>
                <w:rStyle w:val="FontStyle63"/>
                <w:sz w:val="22"/>
                <w:szCs w:val="22"/>
                <w:lang w:val="de-DE"/>
              </w:rPr>
              <w:t>lub</w:t>
            </w:r>
            <w:proofErr w:type="spellEnd"/>
            <w:r w:rsidRPr="00C7780E">
              <w:rPr>
                <w:rStyle w:val="FontStyle63"/>
                <w:sz w:val="22"/>
                <w:szCs w:val="22"/>
                <w:lang w:val="de-DE"/>
              </w:rPr>
              <w:t xml:space="preserve"> PN-EN 1427</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w:t>
            </w:r>
          </w:p>
        </w:tc>
      </w:tr>
      <w:tr w:rsidR="00C318BA" w:rsidRPr="00C7780E" w:rsidTr="00C318BA">
        <w:trPr>
          <w:trHeight w:hRule="exact" w:val="298"/>
        </w:trPr>
        <w:tc>
          <w:tcPr>
            <w:tcW w:w="2717" w:type="dxa"/>
            <w:vMerge/>
            <w:tcBorders>
              <w:left w:val="single" w:sz="6" w:space="0" w:color="auto"/>
              <w:bottom w:val="single" w:sz="6" w:space="0" w:color="auto"/>
              <w:right w:val="single" w:sz="6" w:space="0" w:color="auto"/>
            </w:tcBorders>
          </w:tcPr>
          <w:p w:rsidR="00C318BA" w:rsidRPr="00C7780E" w:rsidRDefault="00C318BA" w:rsidP="00C318BA">
            <w:pPr>
              <w:jc w:val="both"/>
              <w:rPr>
                <w:rStyle w:val="FontStyle63"/>
                <w:sz w:val="22"/>
                <w:szCs w:val="22"/>
              </w:rPr>
            </w:pP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vertAlign w:val="superscript"/>
              </w:rPr>
            </w:pPr>
            <w:r w:rsidRPr="00C7780E">
              <w:rPr>
                <w:rStyle w:val="FontStyle63"/>
                <w:sz w:val="22"/>
                <w:szCs w:val="22"/>
              </w:rPr>
              <w:t xml:space="preserve">Nawrót sprężysty </w:t>
            </w:r>
            <w:r w:rsidRPr="00C7780E">
              <w:rPr>
                <w:rStyle w:val="FontStyle63"/>
                <w:sz w:val="22"/>
                <w:szCs w:val="22"/>
                <w:vertAlign w:val="superscript"/>
              </w:rPr>
              <w:t>b)</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PN-EN 13398</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w:t>
            </w:r>
          </w:p>
        </w:tc>
      </w:tr>
      <w:tr w:rsidR="00C318BA" w:rsidRPr="00C7780E" w:rsidTr="00C318BA">
        <w:trPr>
          <w:trHeight w:hRule="exact" w:val="298"/>
        </w:trPr>
        <w:tc>
          <w:tcPr>
            <w:tcW w:w="2717" w:type="dxa"/>
            <w:tcBorders>
              <w:top w:val="single" w:sz="6" w:space="0" w:color="auto"/>
              <w:left w:val="single" w:sz="6" w:space="0" w:color="auto"/>
              <w:bottom w:val="nil"/>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Wypełniacz (PN-EN 13043)</w:t>
            </w: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Uziarnienie</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PN-EN 933-10</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w:t>
            </w:r>
          </w:p>
        </w:tc>
      </w:tr>
      <w:tr w:rsidR="00C318BA" w:rsidRPr="00C7780E" w:rsidTr="00C318BA">
        <w:trPr>
          <w:trHeight w:hRule="exact" w:val="288"/>
        </w:trPr>
        <w:tc>
          <w:tcPr>
            <w:tcW w:w="2717" w:type="dxa"/>
            <w:tcBorders>
              <w:top w:val="nil"/>
              <w:left w:val="single" w:sz="6" w:space="0" w:color="auto"/>
              <w:bottom w:val="single" w:sz="6" w:space="0" w:color="auto"/>
              <w:right w:val="single" w:sz="6" w:space="0" w:color="auto"/>
            </w:tcBorders>
          </w:tcPr>
          <w:p w:rsidR="00C318BA" w:rsidRPr="00C7780E" w:rsidRDefault="00C318BA" w:rsidP="00C318BA">
            <w:pPr>
              <w:jc w:val="both"/>
              <w:rPr>
                <w:rStyle w:val="FontStyle63"/>
                <w:sz w:val="22"/>
                <w:szCs w:val="22"/>
              </w:rPr>
            </w:pPr>
          </w:p>
          <w:p w:rsidR="00C318BA" w:rsidRPr="00C7780E" w:rsidRDefault="00C318BA" w:rsidP="00C318BA">
            <w:pPr>
              <w:jc w:val="both"/>
              <w:rPr>
                <w:rStyle w:val="FontStyle63"/>
                <w:sz w:val="22"/>
                <w:szCs w:val="22"/>
              </w:rPr>
            </w:pP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Gęstość</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PN-EN 1097-7</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w:t>
            </w:r>
          </w:p>
        </w:tc>
      </w:tr>
      <w:tr w:rsidR="00C318BA" w:rsidRPr="00C7780E" w:rsidTr="00C318BA">
        <w:trPr>
          <w:trHeight w:hRule="exact" w:val="298"/>
        </w:trPr>
        <w:tc>
          <w:tcPr>
            <w:tcW w:w="2717"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Dodatki</w:t>
            </w: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vertAlign w:val="superscript"/>
              </w:rPr>
            </w:pPr>
            <w:r w:rsidRPr="00C7780E">
              <w:rPr>
                <w:rStyle w:val="FontStyle63"/>
                <w:sz w:val="22"/>
                <w:szCs w:val="22"/>
              </w:rPr>
              <w:t>Typ</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22"/>
              <w:widowControl/>
              <w:jc w:val="both"/>
              <w:rPr>
                <w:sz w:val="22"/>
                <w:szCs w:val="22"/>
              </w:rPr>
            </w:pP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22"/>
              <w:widowControl/>
              <w:jc w:val="both"/>
              <w:rPr>
                <w:sz w:val="22"/>
                <w:szCs w:val="22"/>
              </w:rPr>
            </w:pPr>
          </w:p>
        </w:tc>
      </w:tr>
      <w:tr w:rsidR="00C318BA" w:rsidRPr="00C7780E" w:rsidTr="00C318BA">
        <w:trPr>
          <w:trHeight w:hRule="exact" w:val="298"/>
        </w:trPr>
        <w:tc>
          <w:tcPr>
            <w:tcW w:w="2717" w:type="dxa"/>
            <w:vMerge w:val="restart"/>
            <w:tcBorders>
              <w:top w:val="single" w:sz="6" w:space="0" w:color="auto"/>
              <w:left w:val="single" w:sz="6" w:space="0" w:color="auto"/>
              <w:right w:val="single" w:sz="6" w:space="0" w:color="auto"/>
            </w:tcBorders>
          </w:tcPr>
          <w:p w:rsidR="00C318BA" w:rsidRPr="00C7780E" w:rsidRDefault="00C318BA" w:rsidP="00C318BA">
            <w:pPr>
              <w:pStyle w:val="Style8"/>
              <w:widowControl/>
              <w:ind w:right="550"/>
              <w:jc w:val="both"/>
              <w:rPr>
                <w:rStyle w:val="FontStyle63"/>
                <w:sz w:val="22"/>
                <w:szCs w:val="22"/>
              </w:rPr>
            </w:pPr>
            <w:r w:rsidRPr="00C7780E">
              <w:rPr>
                <w:rStyle w:val="FontStyle63"/>
                <w:sz w:val="22"/>
                <w:szCs w:val="22"/>
              </w:rPr>
              <w:t xml:space="preserve">Granulat asfaltowy </w:t>
            </w:r>
            <w:r w:rsidRPr="00C7780E">
              <w:rPr>
                <w:rStyle w:val="FontStyle63"/>
                <w:sz w:val="22"/>
                <w:szCs w:val="22"/>
                <w:vertAlign w:val="superscript"/>
              </w:rPr>
              <w:t xml:space="preserve">a) </w:t>
            </w:r>
            <w:r w:rsidRPr="00C7780E">
              <w:rPr>
                <w:rStyle w:val="FontStyle63"/>
                <w:sz w:val="22"/>
                <w:szCs w:val="22"/>
              </w:rPr>
              <w:t>(PN-EN 13108-8)</w:t>
            </w: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Uziarnienie</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PN-EN 12697-2</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w:t>
            </w:r>
          </w:p>
        </w:tc>
      </w:tr>
      <w:tr w:rsidR="00C318BA" w:rsidRPr="00C7780E" w:rsidTr="00C318BA">
        <w:trPr>
          <w:trHeight w:hRule="exact" w:val="298"/>
        </w:trPr>
        <w:tc>
          <w:tcPr>
            <w:tcW w:w="2717" w:type="dxa"/>
            <w:vMerge/>
            <w:tcBorders>
              <w:left w:val="single" w:sz="6" w:space="0" w:color="auto"/>
              <w:right w:val="single" w:sz="6" w:space="0" w:color="auto"/>
            </w:tcBorders>
          </w:tcPr>
          <w:p w:rsidR="00C318BA" w:rsidRPr="00C7780E" w:rsidRDefault="00C318BA" w:rsidP="00C318BA">
            <w:pPr>
              <w:jc w:val="both"/>
              <w:rPr>
                <w:rStyle w:val="FontStyle63"/>
                <w:sz w:val="22"/>
                <w:szCs w:val="22"/>
              </w:rPr>
            </w:pP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Zawartość lepiszcza</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PN-EN 12697-1</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w:t>
            </w:r>
          </w:p>
        </w:tc>
      </w:tr>
      <w:tr w:rsidR="00C318BA" w:rsidRPr="00C7780E" w:rsidTr="00C318BA">
        <w:trPr>
          <w:trHeight w:hRule="exact" w:val="864"/>
        </w:trPr>
        <w:tc>
          <w:tcPr>
            <w:tcW w:w="2717" w:type="dxa"/>
            <w:vMerge/>
            <w:tcBorders>
              <w:left w:val="single" w:sz="6" w:space="0" w:color="auto"/>
              <w:right w:val="single" w:sz="6" w:space="0" w:color="auto"/>
            </w:tcBorders>
          </w:tcPr>
          <w:p w:rsidR="00C318BA" w:rsidRPr="00C7780E" w:rsidRDefault="00C318BA" w:rsidP="00C318BA">
            <w:pPr>
              <w:jc w:val="both"/>
              <w:rPr>
                <w:rStyle w:val="FontStyle63"/>
                <w:sz w:val="22"/>
                <w:szCs w:val="22"/>
              </w:rPr>
            </w:pP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Penetracja odzyskanego lepiszcza</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jc w:val="both"/>
              <w:rPr>
                <w:rStyle w:val="FontStyle63"/>
                <w:sz w:val="22"/>
                <w:szCs w:val="22"/>
                <w:lang w:val="de-DE"/>
              </w:rPr>
            </w:pPr>
            <w:r w:rsidRPr="00C7780E">
              <w:rPr>
                <w:rStyle w:val="FontStyle63"/>
                <w:sz w:val="22"/>
                <w:szCs w:val="22"/>
                <w:lang w:val="de-DE"/>
              </w:rPr>
              <w:t xml:space="preserve">PN-EN 12697-3 </w:t>
            </w:r>
            <w:proofErr w:type="spellStart"/>
            <w:r w:rsidRPr="00C7780E">
              <w:rPr>
                <w:rStyle w:val="FontStyle63"/>
                <w:sz w:val="22"/>
                <w:szCs w:val="22"/>
                <w:lang w:val="de-DE"/>
              </w:rPr>
              <w:t>lub</w:t>
            </w:r>
            <w:proofErr w:type="spellEnd"/>
            <w:r w:rsidRPr="00C7780E">
              <w:rPr>
                <w:rStyle w:val="FontStyle63"/>
                <w:sz w:val="22"/>
                <w:szCs w:val="22"/>
                <w:lang w:val="de-DE"/>
              </w:rPr>
              <w:t xml:space="preserve"> PN-EN 12697-4 </w:t>
            </w:r>
            <w:proofErr w:type="spellStart"/>
            <w:r w:rsidRPr="00C7780E">
              <w:rPr>
                <w:rStyle w:val="FontStyle63"/>
                <w:sz w:val="22"/>
                <w:szCs w:val="22"/>
                <w:lang w:val="de-DE"/>
              </w:rPr>
              <w:t>oraz</w:t>
            </w:r>
            <w:proofErr w:type="spellEnd"/>
            <w:r w:rsidRPr="00C7780E">
              <w:rPr>
                <w:rStyle w:val="FontStyle63"/>
                <w:sz w:val="22"/>
                <w:szCs w:val="22"/>
                <w:lang w:val="de-DE"/>
              </w:rPr>
              <w:t xml:space="preserve"> PN-EN 1426</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w:t>
            </w:r>
          </w:p>
        </w:tc>
      </w:tr>
      <w:tr w:rsidR="00C318BA" w:rsidRPr="00C7780E" w:rsidTr="00C318BA">
        <w:trPr>
          <w:trHeight w:hRule="exact" w:val="686"/>
        </w:trPr>
        <w:tc>
          <w:tcPr>
            <w:tcW w:w="2717" w:type="dxa"/>
            <w:vMerge/>
            <w:tcBorders>
              <w:left w:val="single" w:sz="6" w:space="0" w:color="auto"/>
              <w:bottom w:val="single" w:sz="4" w:space="0" w:color="auto"/>
              <w:right w:val="single" w:sz="6" w:space="0" w:color="auto"/>
            </w:tcBorders>
          </w:tcPr>
          <w:p w:rsidR="00C318BA" w:rsidRPr="00C7780E" w:rsidRDefault="00C318BA" w:rsidP="00C318BA">
            <w:pPr>
              <w:jc w:val="both"/>
              <w:rPr>
                <w:rStyle w:val="FontStyle63"/>
                <w:sz w:val="22"/>
                <w:szCs w:val="22"/>
              </w:rPr>
            </w:pP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tabs>
                <w:tab w:val="left" w:pos="2488"/>
              </w:tabs>
              <w:ind w:right="102" w:hanging="5"/>
              <w:jc w:val="both"/>
              <w:rPr>
                <w:rStyle w:val="FontStyle63"/>
                <w:sz w:val="22"/>
                <w:szCs w:val="22"/>
              </w:rPr>
            </w:pPr>
            <w:r w:rsidRPr="00C7780E">
              <w:rPr>
                <w:rStyle w:val="FontStyle63"/>
                <w:sz w:val="22"/>
                <w:szCs w:val="22"/>
              </w:rPr>
              <w:t>Temperatura mięknienia odzyskanego lepiszcza</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jc w:val="both"/>
              <w:rPr>
                <w:rStyle w:val="FontStyle63"/>
                <w:sz w:val="22"/>
                <w:szCs w:val="22"/>
                <w:lang w:val="de-DE"/>
              </w:rPr>
            </w:pPr>
            <w:r w:rsidRPr="00C7780E">
              <w:rPr>
                <w:rStyle w:val="FontStyle63"/>
                <w:sz w:val="22"/>
                <w:szCs w:val="22"/>
                <w:lang w:val="de-DE"/>
              </w:rPr>
              <w:t xml:space="preserve">PN-EN 12697-3 </w:t>
            </w:r>
            <w:proofErr w:type="spellStart"/>
            <w:r w:rsidRPr="00C7780E">
              <w:rPr>
                <w:rStyle w:val="FontStyle63"/>
                <w:sz w:val="22"/>
                <w:szCs w:val="22"/>
                <w:lang w:val="de-DE"/>
              </w:rPr>
              <w:t>lub</w:t>
            </w:r>
            <w:proofErr w:type="spellEnd"/>
            <w:r w:rsidRPr="00C7780E">
              <w:rPr>
                <w:rStyle w:val="FontStyle63"/>
                <w:sz w:val="22"/>
                <w:szCs w:val="22"/>
                <w:lang w:val="de-DE"/>
              </w:rPr>
              <w:t xml:space="preserve"> PN-EN 12697-4 </w:t>
            </w:r>
            <w:proofErr w:type="spellStart"/>
            <w:r w:rsidRPr="00C7780E">
              <w:rPr>
                <w:rStyle w:val="FontStyle63"/>
                <w:sz w:val="22"/>
                <w:szCs w:val="22"/>
                <w:lang w:val="de-DE"/>
              </w:rPr>
              <w:t>oraz</w:t>
            </w:r>
            <w:proofErr w:type="spellEnd"/>
            <w:r w:rsidRPr="00C7780E">
              <w:rPr>
                <w:rStyle w:val="FontStyle63"/>
                <w:sz w:val="22"/>
                <w:szCs w:val="22"/>
                <w:lang w:val="de-DE"/>
              </w:rPr>
              <w:t xml:space="preserve"> PN-EN 1427</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w:t>
            </w:r>
          </w:p>
        </w:tc>
      </w:tr>
      <w:tr w:rsidR="00C318BA" w:rsidTr="00C318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677"/>
        </w:trPr>
        <w:tc>
          <w:tcPr>
            <w:tcW w:w="9007" w:type="dxa"/>
            <w:gridSpan w:val="4"/>
          </w:tcPr>
          <w:p w:rsidR="00C318BA" w:rsidRPr="00C7780E" w:rsidRDefault="00C318BA" w:rsidP="00C318BA">
            <w:pPr>
              <w:autoSpaceDE w:val="0"/>
              <w:autoSpaceDN w:val="0"/>
              <w:adjustRightInd w:val="0"/>
              <w:spacing w:after="0" w:line="240" w:lineRule="auto"/>
              <w:jc w:val="both"/>
              <w:rPr>
                <w:rFonts w:ascii="TimesNewRoman" w:eastAsia="TimesNewRoman" w:hAnsi="Times New Roman" w:cs="TimesNewRoman"/>
                <w:lang w:eastAsia="en-US"/>
              </w:rPr>
            </w:pPr>
            <w:r w:rsidRPr="00C7780E">
              <w:rPr>
                <w:rFonts w:ascii="Times New Roman" w:eastAsiaTheme="minorHAnsi" w:hAnsi="Times New Roman"/>
                <w:vertAlign w:val="superscript"/>
                <w:lang w:eastAsia="en-US"/>
              </w:rPr>
              <w:t>a)</w:t>
            </w:r>
            <w:r w:rsidRPr="00C7780E">
              <w:rPr>
                <w:rFonts w:ascii="Times New Roman" w:eastAsiaTheme="minorHAnsi" w:hAnsi="Times New Roman"/>
                <w:lang w:eastAsia="en-US"/>
              </w:rPr>
              <w:t xml:space="preserve"> sprawdzane wła</w:t>
            </w:r>
            <w:r w:rsidRPr="00C7780E">
              <w:rPr>
                <w:rFonts w:ascii="TimesNewRoman" w:eastAsia="TimesNewRoman" w:hAnsi="Times New Roman" w:cs="TimesNewRoman" w:hint="eastAsia"/>
                <w:lang w:eastAsia="en-US"/>
              </w:rPr>
              <w:t>ś</w:t>
            </w:r>
            <w:r w:rsidRPr="00C7780E">
              <w:rPr>
                <w:rFonts w:ascii="Times New Roman" w:eastAsiaTheme="minorHAnsi" w:hAnsi="Times New Roman"/>
                <w:lang w:eastAsia="en-US"/>
              </w:rPr>
              <w:t>ciwo</w:t>
            </w:r>
            <w:r w:rsidRPr="00C7780E">
              <w:rPr>
                <w:rFonts w:ascii="TimesNewRoman" w:eastAsia="TimesNewRoman" w:hAnsi="Times New Roman" w:cs="TimesNewRoman" w:hint="eastAsia"/>
                <w:lang w:eastAsia="en-US"/>
              </w:rPr>
              <w:t>ś</w:t>
            </w:r>
            <w:r w:rsidRPr="00C7780E">
              <w:rPr>
                <w:rFonts w:ascii="Times New Roman" w:eastAsiaTheme="minorHAnsi" w:hAnsi="Times New Roman"/>
                <w:lang w:eastAsia="en-US"/>
              </w:rPr>
              <w:t>ci powinny by</w:t>
            </w:r>
            <w:r w:rsidRPr="00C7780E">
              <w:rPr>
                <w:rFonts w:ascii="TimesNewRoman" w:eastAsia="TimesNewRoman" w:hAnsi="Times New Roman" w:cs="TimesNewRoman" w:hint="eastAsia"/>
                <w:lang w:eastAsia="en-US"/>
              </w:rPr>
              <w:t>ć</w:t>
            </w:r>
            <w:r>
              <w:rPr>
                <w:rFonts w:ascii="TimesNewRoman" w:eastAsia="TimesNewRoman" w:hAnsi="Times New Roman" w:cs="TimesNewRoman"/>
                <w:lang w:eastAsia="en-US"/>
              </w:rPr>
              <w:t xml:space="preserve"> </w:t>
            </w:r>
            <w:r w:rsidRPr="00C7780E">
              <w:rPr>
                <w:rFonts w:ascii="Times New Roman" w:eastAsiaTheme="minorHAnsi" w:hAnsi="Times New Roman"/>
                <w:lang w:eastAsia="en-US"/>
              </w:rPr>
              <w:t>odpowiednie do procentowego dodatku; przy małym procentowym dodatku</w:t>
            </w:r>
            <w:r>
              <w:rPr>
                <w:rFonts w:ascii="Times New Roman" w:eastAsiaTheme="minorHAnsi" w:hAnsi="Times New Roman"/>
                <w:lang w:eastAsia="en-US"/>
              </w:rPr>
              <w:t xml:space="preserve"> </w:t>
            </w:r>
            <w:r w:rsidRPr="00C7780E">
              <w:rPr>
                <w:rFonts w:ascii="Times New Roman" w:eastAsiaTheme="minorHAnsi" w:hAnsi="Times New Roman"/>
                <w:lang w:eastAsia="en-US"/>
              </w:rPr>
              <w:t>stosuje si</w:t>
            </w:r>
            <w:r w:rsidRPr="00C7780E">
              <w:rPr>
                <w:rFonts w:ascii="TimesNewRoman" w:eastAsia="TimesNewRoman" w:hAnsi="Times New Roman" w:cs="TimesNewRoman" w:hint="eastAsia"/>
                <w:lang w:eastAsia="en-US"/>
              </w:rPr>
              <w:t>ę</w:t>
            </w:r>
            <w:r>
              <w:rPr>
                <w:rFonts w:ascii="TimesNewRoman" w:eastAsia="TimesNewRoman" w:hAnsi="Times New Roman" w:cs="TimesNewRoman"/>
                <w:lang w:eastAsia="en-US"/>
              </w:rPr>
              <w:t xml:space="preserve"> </w:t>
            </w:r>
            <w:r w:rsidRPr="00C7780E">
              <w:rPr>
                <w:rFonts w:ascii="Times New Roman" w:eastAsiaTheme="minorHAnsi" w:hAnsi="Times New Roman"/>
                <w:lang w:eastAsia="en-US"/>
              </w:rPr>
              <w:t>minimum wymaga</w:t>
            </w:r>
            <w:r w:rsidRPr="00C7780E">
              <w:rPr>
                <w:rFonts w:ascii="TimesNewRoman" w:eastAsia="TimesNewRoman" w:hAnsi="Times New Roman" w:cs="TimesNewRoman" w:hint="eastAsia"/>
                <w:lang w:eastAsia="en-US"/>
              </w:rPr>
              <w:t>ń</w:t>
            </w:r>
          </w:p>
          <w:p w:rsidR="00C318BA" w:rsidRPr="00C7780E" w:rsidRDefault="00C318BA" w:rsidP="00C318BA">
            <w:pPr>
              <w:widowControl w:val="0"/>
              <w:autoSpaceDE w:val="0"/>
              <w:autoSpaceDN w:val="0"/>
              <w:adjustRightInd w:val="0"/>
              <w:spacing w:before="55" w:after="0" w:line="240" w:lineRule="auto"/>
              <w:jc w:val="both"/>
              <w:rPr>
                <w:rFonts w:ascii="Times New Roman" w:hAnsi="Times New Roman"/>
                <w:b/>
                <w:bCs/>
                <w:color w:val="000000"/>
              </w:rPr>
            </w:pPr>
            <w:r w:rsidRPr="00C7780E">
              <w:rPr>
                <w:rFonts w:ascii="Times New Roman" w:eastAsiaTheme="minorHAnsi" w:hAnsi="Times New Roman"/>
                <w:vertAlign w:val="superscript"/>
                <w:lang w:eastAsia="en-US"/>
              </w:rPr>
              <w:t>b)</w:t>
            </w:r>
            <w:r w:rsidRPr="00C7780E">
              <w:rPr>
                <w:rFonts w:ascii="Times New Roman" w:eastAsiaTheme="minorHAnsi" w:hAnsi="Times New Roman"/>
                <w:lang w:eastAsia="en-US"/>
              </w:rPr>
              <w:t xml:space="preserve"> dotyczy jedynie lepiszczy według PN-EN 14023</w:t>
            </w:r>
          </w:p>
        </w:tc>
      </w:tr>
    </w:tbl>
    <w:p w:rsidR="00C318BA" w:rsidRPr="0033183F" w:rsidRDefault="00C318BA" w:rsidP="00C318BA">
      <w:pPr>
        <w:widowControl w:val="0"/>
        <w:autoSpaceDE w:val="0"/>
        <w:autoSpaceDN w:val="0"/>
        <w:adjustRightInd w:val="0"/>
        <w:spacing w:before="672" w:after="238" w:line="240" w:lineRule="auto"/>
        <w:jc w:val="both"/>
        <w:rPr>
          <w:rFonts w:ascii="Times New Roman" w:hAnsi="Times New Roman"/>
          <w:sz w:val="24"/>
          <w:szCs w:val="24"/>
        </w:rPr>
        <w:sectPr w:rsidR="00C318BA" w:rsidRPr="0033183F" w:rsidSect="00C318BA">
          <w:type w:val="continuous"/>
          <w:pgSz w:w="11900" w:h="16840"/>
          <w:pgMar w:top="737" w:right="1558" w:bottom="764" w:left="1190" w:header="708" w:footer="708" w:gutter="0"/>
          <w:cols w:space="708" w:equalWidth="0">
            <w:col w:w="9156"/>
          </w:cols>
          <w:noEndnote/>
        </w:sectPr>
      </w:pPr>
    </w:p>
    <w:p w:rsidR="007C5844" w:rsidRDefault="007C5844" w:rsidP="00C318BA">
      <w:pPr>
        <w:widowControl w:val="0"/>
        <w:autoSpaceDE w:val="0"/>
        <w:autoSpaceDN w:val="0"/>
        <w:adjustRightInd w:val="0"/>
        <w:spacing w:before="194" w:after="281"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before="194" w:after="281" w:line="240" w:lineRule="auto"/>
        <w:jc w:val="both"/>
        <w:rPr>
          <w:rFonts w:ascii="Times New Roman" w:hAnsi="Times New Roman"/>
          <w:b/>
          <w:bCs/>
          <w:color w:val="000000"/>
          <w:sz w:val="24"/>
          <w:szCs w:val="24"/>
        </w:rPr>
      </w:pPr>
      <w:r w:rsidRPr="0033183F">
        <w:rPr>
          <w:rFonts w:ascii="Times New Roman" w:hAnsi="Times New Roman"/>
          <w:b/>
          <w:bCs/>
          <w:color w:val="000000"/>
          <w:sz w:val="24"/>
          <w:szCs w:val="24"/>
        </w:rPr>
        <w:t xml:space="preserve">Tablica 11.   Rodzaj i liczba badań mieszanek mineralno- asfaltowych </w:t>
      </w:r>
    </w:p>
    <w:tbl>
      <w:tblPr>
        <w:tblW w:w="9342" w:type="dxa"/>
        <w:tblInd w:w="-308" w:type="dxa"/>
        <w:tblLayout w:type="fixed"/>
        <w:tblCellMar>
          <w:left w:w="40" w:type="dxa"/>
          <w:right w:w="40" w:type="dxa"/>
        </w:tblCellMar>
        <w:tblLook w:val="0000" w:firstRow="0" w:lastRow="0" w:firstColumn="0" w:lastColumn="0" w:noHBand="0" w:noVBand="0"/>
      </w:tblPr>
      <w:tblGrid>
        <w:gridCol w:w="2475"/>
        <w:gridCol w:w="2857"/>
        <w:gridCol w:w="595"/>
        <w:gridCol w:w="701"/>
        <w:gridCol w:w="797"/>
        <w:gridCol w:w="701"/>
        <w:gridCol w:w="712"/>
        <w:gridCol w:w="504"/>
      </w:tblGrid>
      <w:tr w:rsidR="00C318BA" w:rsidRPr="00627C55" w:rsidTr="00634AD6">
        <w:trPr>
          <w:trHeight w:hRule="exact" w:val="478"/>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845"/>
              <w:jc w:val="both"/>
              <w:rPr>
                <w:rStyle w:val="FontStyle63"/>
                <w:sz w:val="22"/>
                <w:szCs w:val="22"/>
              </w:rPr>
            </w:pPr>
            <w:r w:rsidRPr="00627C55">
              <w:rPr>
                <w:rStyle w:val="FontStyle63"/>
                <w:sz w:val="22"/>
                <w:szCs w:val="22"/>
              </w:rPr>
              <w:t>Właściwość</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610"/>
              <w:jc w:val="both"/>
              <w:rPr>
                <w:rStyle w:val="FontStyle63"/>
                <w:sz w:val="22"/>
                <w:szCs w:val="22"/>
              </w:rPr>
            </w:pPr>
            <w:r w:rsidRPr="00627C55">
              <w:rPr>
                <w:rStyle w:val="FontStyle63"/>
                <w:sz w:val="22"/>
                <w:szCs w:val="22"/>
              </w:rPr>
              <w:t>Metoda badania</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2"/>
              <w:widowControl/>
              <w:jc w:val="both"/>
              <w:rPr>
                <w:rStyle w:val="FontStyle66"/>
                <w:sz w:val="22"/>
                <w:szCs w:val="22"/>
              </w:rPr>
            </w:pPr>
            <w:r w:rsidRPr="00627C55">
              <w:rPr>
                <w:rStyle w:val="FontStyle66"/>
                <w:sz w:val="22"/>
                <w:szCs w:val="22"/>
              </w:rPr>
              <w:t>AC</w:t>
            </w:r>
          </w:p>
        </w:tc>
        <w:tc>
          <w:tcPr>
            <w:tcW w:w="701" w:type="dxa"/>
            <w:tcBorders>
              <w:top w:val="single" w:sz="6" w:space="0" w:color="auto"/>
              <w:left w:val="single" w:sz="6" w:space="0" w:color="auto"/>
              <w:bottom w:val="single" w:sz="6" w:space="0" w:color="auto"/>
              <w:right w:val="single" w:sz="6" w:space="0" w:color="auto"/>
            </w:tcBorders>
            <w:vAlign w:val="center"/>
          </w:tcPr>
          <w:p w:rsidR="00C318BA" w:rsidRPr="00627C55" w:rsidRDefault="00C318BA" w:rsidP="00C318BA">
            <w:pPr>
              <w:pStyle w:val="Style10"/>
              <w:widowControl/>
              <w:ind w:right="29"/>
              <w:rPr>
                <w:rStyle w:val="FontStyle63"/>
                <w:sz w:val="22"/>
                <w:szCs w:val="22"/>
              </w:rPr>
            </w:pPr>
            <w:r w:rsidRPr="00627C55">
              <w:rPr>
                <w:rStyle w:val="FontStyle63"/>
                <w:sz w:val="22"/>
                <w:szCs w:val="22"/>
              </w:rPr>
              <w:t>AC WMS</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BBTM</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SMA</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MA</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PA</w:t>
            </w:r>
          </w:p>
        </w:tc>
      </w:tr>
      <w:tr w:rsidR="00C318BA" w:rsidRPr="00627C55" w:rsidTr="00634AD6">
        <w:trPr>
          <w:trHeight w:hRule="exact" w:val="586"/>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Zawartość lepiszcza (obowiązkowa)</w:t>
            </w:r>
          </w:p>
        </w:tc>
        <w:tc>
          <w:tcPr>
            <w:tcW w:w="2857" w:type="dxa"/>
            <w:tcBorders>
              <w:top w:val="single" w:sz="6" w:space="0" w:color="auto"/>
              <w:left w:val="single" w:sz="6" w:space="0" w:color="auto"/>
              <w:bottom w:val="single" w:sz="6" w:space="0" w:color="auto"/>
              <w:right w:val="single" w:sz="6" w:space="0" w:color="auto"/>
            </w:tcBorders>
            <w:vAlign w:val="center"/>
          </w:tcPr>
          <w:p w:rsidR="00C318BA" w:rsidRPr="00627C55" w:rsidRDefault="00C318BA" w:rsidP="00C318BA">
            <w:pPr>
              <w:pStyle w:val="Style8"/>
              <w:widowControl/>
              <w:ind w:right="53"/>
              <w:jc w:val="both"/>
              <w:rPr>
                <w:rStyle w:val="FontStyle63"/>
                <w:sz w:val="22"/>
                <w:szCs w:val="22"/>
              </w:rPr>
            </w:pPr>
            <w:r w:rsidRPr="00627C55">
              <w:rPr>
                <w:rStyle w:val="FontStyle63"/>
                <w:sz w:val="22"/>
                <w:szCs w:val="22"/>
              </w:rPr>
              <w:t>PN-EN 12697-1 PN-EN 12697-39</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26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Uziarnienie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PN-EN 12697-2</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1560"/>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ind w:right="269"/>
              <w:jc w:val="both"/>
              <w:rPr>
                <w:rStyle w:val="FontStyle63"/>
                <w:sz w:val="22"/>
                <w:szCs w:val="22"/>
              </w:rPr>
            </w:pPr>
            <w:r w:rsidRPr="00627C55">
              <w:rPr>
                <w:rStyle w:val="FontStyle63"/>
                <w:sz w:val="22"/>
                <w:szCs w:val="22"/>
              </w:rPr>
              <w:t xml:space="preserve">Zawartość wolnych przestrzeni łącznie z VFB i VMA przy wymaganej zawartości wolnych przestrzeni </w:t>
            </w:r>
            <w:proofErr w:type="spellStart"/>
            <w:r w:rsidRPr="00627C55">
              <w:rPr>
                <w:rStyle w:val="FontStyle63"/>
                <w:sz w:val="22"/>
                <w:szCs w:val="22"/>
              </w:rPr>
              <w:t>V</w:t>
            </w:r>
            <w:r w:rsidRPr="00627C55">
              <w:rPr>
                <w:rStyle w:val="FontStyle63"/>
                <w:sz w:val="22"/>
                <w:szCs w:val="22"/>
                <w:vertAlign w:val="subscript"/>
              </w:rPr>
              <w:t>max</w:t>
            </w:r>
            <w:proofErr w:type="spellEnd"/>
            <w:r w:rsidRPr="00627C55">
              <w:rPr>
                <w:rStyle w:val="FontStyle63"/>
                <w:sz w:val="22"/>
                <w:szCs w:val="22"/>
              </w:rPr>
              <w:t xml:space="preserve"> ≤ 7%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jc w:val="both"/>
              <w:rPr>
                <w:rStyle w:val="FontStyle63"/>
                <w:sz w:val="22"/>
                <w:szCs w:val="22"/>
              </w:rPr>
            </w:pPr>
            <w:r w:rsidRPr="00627C55">
              <w:rPr>
                <w:rStyle w:val="FontStyle63"/>
                <w:sz w:val="22"/>
                <w:szCs w:val="22"/>
              </w:rPr>
              <w:t>PN-EN 12697-8Gęstość objętościowa</w:t>
            </w:r>
            <w:r>
              <w:rPr>
                <w:rStyle w:val="FontStyle63"/>
                <w:sz w:val="22"/>
                <w:szCs w:val="22"/>
              </w:rPr>
              <w:t xml:space="preserve"> </w:t>
            </w:r>
            <w:r w:rsidRPr="00627C55">
              <w:rPr>
                <w:rStyle w:val="FontStyle63"/>
                <w:sz w:val="22"/>
                <w:szCs w:val="22"/>
              </w:rPr>
              <w:t>wg PN-EN 12697-6, metoda B, wstanie nasyconym powierzchniowo</w:t>
            </w:r>
            <w:r>
              <w:rPr>
                <w:rStyle w:val="FontStyle63"/>
                <w:sz w:val="22"/>
                <w:szCs w:val="22"/>
              </w:rPr>
              <w:t xml:space="preserve"> </w:t>
            </w:r>
            <w:r w:rsidRPr="00627C55">
              <w:rPr>
                <w:rStyle w:val="FontStyle63"/>
                <w:sz w:val="22"/>
                <w:szCs w:val="22"/>
              </w:rPr>
              <w:t>suchym.</w:t>
            </w:r>
            <w:r>
              <w:rPr>
                <w:rStyle w:val="FontStyle63"/>
                <w:sz w:val="22"/>
                <w:szCs w:val="22"/>
              </w:rPr>
              <w:t xml:space="preserve"> </w:t>
            </w:r>
            <w:r w:rsidRPr="00627C55">
              <w:rPr>
                <w:rStyle w:val="FontStyle63"/>
                <w:sz w:val="22"/>
                <w:szCs w:val="22"/>
              </w:rPr>
              <w:t>Gęstość wg PN-EN 12697-5, metoda A, w wodzie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1541"/>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ind w:right="384"/>
              <w:jc w:val="both"/>
              <w:rPr>
                <w:rStyle w:val="FontStyle63"/>
                <w:sz w:val="22"/>
                <w:szCs w:val="22"/>
              </w:rPr>
            </w:pPr>
            <w:r w:rsidRPr="00627C55">
              <w:rPr>
                <w:rStyle w:val="FontStyle63"/>
                <w:sz w:val="22"/>
                <w:szCs w:val="22"/>
              </w:rPr>
              <w:t>Zawartość wolnych przestrzeni łącznie z VFB i VMA przy wymaganej zawartości wolnych przestrzeni 7% &lt;</w:t>
            </w:r>
            <w:proofErr w:type="spellStart"/>
            <w:r w:rsidRPr="00627C55">
              <w:rPr>
                <w:rStyle w:val="FontStyle63"/>
                <w:sz w:val="22"/>
                <w:szCs w:val="22"/>
              </w:rPr>
              <w:t>V</w:t>
            </w:r>
            <w:r w:rsidRPr="00627C55">
              <w:rPr>
                <w:rStyle w:val="FontStyle63"/>
                <w:sz w:val="22"/>
                <w:szCs w:val="22"/>
                <w:vertAlign w:val="subscript"/>
              </w:rPr>
              <w:t>max</w:t>
            </w:r>
            <w:proofErr w:type="spellEnd"/>
            <w:r w:rsidRPr="00627C55">
              <w:rPr>
                <w:rStyle w:val="FontStyle63"/>
                <w:sz w:val="22"/>
                <w:szCs w:val="22"/>
              </w:rPr>
              <w:t>&lt; 10%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jc w:val="both"/>
              <w:rPr>
                <w:rStyle w:val="FontStyle63"/>
                <w:sz w:val="22"/>
                <w:szCs w:val="22"/>
              </w:rPr>
            </w:pPr>
            <w:r w:rsidRPr="00627C55">
              <w:rPr>
                <w:rStyle w:val="FontStyle63"/>
                <w:sz w:val="22"/>
                <w:szCs w:val="22"/>
              </w:rPr>
              <w:t>PN-EN 12697-8Gęstość objętościowa</w:t>
            </w:r>
            <w:r>
              <w:rPr>
                <w:rStyle w:val="FontStyle63"/>
                <w:sz w:val="22"/>
                <w:szCs w:val="22"/>
              </w:rPr>
              <w:t xml:space="preserve"> </w:t>
            </w:r>
            <w:r w:rsidRPr="00627C55">
              <w:rPr>
                <w:rStyle w:val="FontStyle63"/>
                <w:sz w:val="22"/>
                <w:szCs w:val="22"/>
              </w:rPr>
              <w:t>wg PN-EN 12697-6, metoda C,</w:t>
            </w:r>
            <w:r>
              <w:rPr>
                <w:rStyle w:val="FontStyle63"/>
                <w:sz w:val="22"/>
                <w:szCs w:val="22"/>
              </w:rPr>
              <w:t xml:space="preserve"> </w:t>
            </w:r>
            <w:r w:rsidRPr="00627C55">
              <w:rPr>
                <w:rStyle w:val="FontStyle63"/>
                <w:sz w:val="22"/>
                <w:szCs w:val="22"/>
              </w:rPr>
              <w:t>w stanie uszczelnienia</w:t>
            </w:r>
            <w:r>
              <w:rPr>
                <w:rStyle w:val="FontStyle63"/>
                <w:sz w:val="22"/>
                <w:szCs w:val="22"/>
              </w:rPr>
              <w:t xml:space="preserve"> </w:t>
            </w:r>
            <w:r w:rsidRPr="00627C55">
              <w:rPr>
                <w:rStyle w:val="FontStyle63"/>
                <w:sz w:val="22"/>
                <w:szCs w:val="22"/>
              </w:rPr>
              <w:t>powierzchniowego.</w:t>
            </w:r>
            <w:r>
              <w:rPr>
                <w:rStyle w:val="FontStyle63"/>
                <w:sz w:val="22"/>
                <w:szCs w:val="22"/>
              </w:rPr>
              <w:t xml:space="preserve"> </w:t>
            </w:r>
            <w:r w:rsidRPr="00627C55">
              <w:rPr>
                <w:rStyle w:val="FontStyle63"/>
                <w:sz w:val="22"/>
                <w:szCs w:val="22"/>
              </w:rPr>
              <w:t>Gęstość wg PN-EN 12697-5,</w:t>
            </w:r>
            <w:r>
              <w:rPr>
                <w:rStyle w:val="FontStyle63"/>
                <w:sz w:val="22"/>
                <w:szCs w:val="22"/>
              </w:rPr>
              <w:t xml:space="preserve"> </w:t>
            </w:r>
            <w:r w:rsidRPr="00627C55">
              <w:rPr>
                <w:rStyle w:val="FontStyle63"/>
                <w:sz w:val="22"/>
                <w:szCs w:val="22"/>
              </w:rPr>
              <w:t>metoda A, w wodzie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158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ind w:right="269"/>
              <w:jc w:val="both"/>
              <w:rPr>
                <w:rStyle w:val="FontStyle63"/>
                <w:sz w:val="22"/>
                <w:szCs w:val="22"/>
              </w:rPr>
            </w:pPr>
            <w:r w:rsidRPr="00627C55">
              <w:rPr>
                <w:rStyle w:val="FontStyle63"/>
                <w:sz w:val="22"/>
                <w:szCs w:val="22"/>
              </w:rPr>
              <w:lastRenderedPageBreak/>
              <w:t xml:space="preserve">Zawartość wolnych przestrzeni łącznie z VFB i VMA przy wymaganej zawartości wolnych przestrzeni </w:t>
            </w:r>
            <w:proofErr w:type="spellStart"/>
            <w:r w:rsidRPr="00627C55">
              <w:rPr>
                <w:rStyle w:val="FontStyle63"/>
                <w:sz w:val="22"/>
                <w:szCs w:val="22"/>
              </w:rPr>
              <w:t>V</w:t>
            </w:r>
            <w:r w:rsidRPr="00627C55">
              <w:rPr>
                <w:rStyle w:val="FontStyle63"/>
                <w:sz w:val="22"/>
                <w:szCs w:val="22"/>
                <w:vertAlign w:val="subscript"/>
              </w:rPr>
              <w:t>max</w:t>
            </w:r>
            <w:proofErr w:type="spellEnd"/>
            <w:r w:rsidRPr="00627C55">
              <w:rPr>
                <w:rStyle w:val="FontStyle63"/>
                <w:sz w:val="22"/>
                <w:szCs w:val="22"/>
              </w:rPr>
              <w:t>&gt; 10%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jc w:val="both"/>
              <w:rPr>
                <w:rStyle w:val="FontStyle63"/>
                <w:sz w:val="22"/>
                <w:szCs w:val="22"/>
              </w:rPr>
            </w:pPr>
            <w:r w:rsidRPr="00627C55">
              <w:rPr>
                <w:rStyle w:val="FontStyle63"/>
                <w:sz w:val="22"/>
                <w:szCs w:val="22"/>
              </w:rPr>
              <w:t>PN-EN 12697-8Gęstość objętościowa</w:t>
            </w:r>
            <w:r>
              <w:rPr>
                <w:rStyle w:val="FontStyle63"/>
                <w:sz w:val="22"/>
                <w:szCs w:val="22"/>
              </w:rPr>
              <w:t xml:space="preserve"> </w:t>
            </w:r>
            <w:r w:rsidRPr="00627C55">
              <w:rPr>
                <w:rStyle w:val="FontStyle63"/>
                <w:sz w:val="22"/>
                <w:szCs w:val="22"/>
              </w:rPr>
              <w:t>wg PN-EN 12697-6, metoda D,</w:t>
            </w:r>
            <w:r>
              <w:rPr>
                <w:rStyle w:val="FontStyle63"/>
                <w:sz w:val="22"/>
                <w:szCs w:val="22"/>
              </w:rPr>
              <w:t xml:space="preserve"> </w:t>
            </w:r>
            <w:r w:rsidRPr="00627C55">
              <w:rPr>
                <w:rStyle w:val="FontStyle63"/>
                <w:sz w:val="22"/>
                <w:szCs w:val="22"/>
              </w:rPr>
              <w:t>na podstawie wymiarów</w:t>
            </w:r>
            <w:r>
              <w:rPr>
                <w:rStyle w:val="FontStyle63"/>
                <w:sz w:val="22"/>
                <w:szCs w:val="22"/>
              </w:rPr>
              <w:t xml:space="preserve"> </w:t>
            </w:r>
            <w:r w:rsidRPr="00627C55">
              <w:rPr>
                <w:rStyle w:val="FontStyle63"/>
                <w:sz w:val="22"/>
                <w:szCs w:val="22"/>
              </w:rPr>
              <w:t>geometrycznych.</w:t>
            </w:r>
            <w:r>
              <w:rPr>
                <w:rStyle w:val="FontStyle63"/>
                <w:sz w:val="22"/>
                <w:szCs w:val="22"/>
              </w:rPr>
              <w:t xml:space="preserve"> </w:t>
            </w:r>
            <w:r w:rsidRPr="00627C55">
              <w:rPr>
                <w:rStyle w:val="FontStyle63"/>
                <w:sz w:val="22"/>
                <w:szCs w:val="22"/>
              </w:rPr>
              <w:t>Gęstość wg PN-EN 12697-5,</w:t>
            </w:r>
            <w:r>
              <w:rPr>
                <w:rStyle w:val="FontStyle63"/>
                <w:sz w:val="22"/>
                <w:szCs w:val="22"/>
              </w:rPr>
              <w:t xml:space="preserve"> </w:t>
            </w:r>
            <w:r w:rsidRPr="00627C55">
              <w:rPr>
                <w:rStyle w:val="FontStyle63"/>
                <w:sz w:val="22"/>
                <w:szCs w:val="22"/>
              </w:rPr>
              <w:t>metoda A, w wodzie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847"/>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Wrażliwość na działanie wody (powiązana funkcjonalnie)</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12697-12</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r>
      <w:tr w:rsidR="00C318BA" w:rsidRPr="00627C55" w:rsidTr="00634AD6">
        <w:trPr>
          <w:trHeight w:hRule="exact" w:val="68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Spływność lepiszcza (powiązana funkcjonalnie)</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12697-18</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r>
      <w:tr w:rsidR="00C318BA" w:rsidRPr="00627C55" w:rsidTr="00634AD6">
        <w:trPr>
          <w:trHeight w:hRule="exact" w:val="198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 xml:space="preserve">Odporność na deformacje trwałe (powiązana funkcjonalnie), dotyczy betonu asfaltowego zaprojektowanego do maksymalnego obciążenia osi poniżej 130 </w:t>
            </w:r>
            <w:proofErr w:type="spellStart"/>
            <w:r w:rsidRPr="00627C55">
              <w:rPr>
                <w:rStyle w:val="FontStyle63"/>
                <w:sz w:val="22"/>
                <w:szCs w:val="22"/>
              </w:rPr>
              <w:t>kN</w:t>
            </w:r>
            <w:proofErr w:type="spellEnd"/>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12697-22, mały aparat, metoda B w powietrzu, przy wymaganej temperaturze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C87846" w:rsidRDefault="00C318BA" w:rsidP="00C318BA">
            <w:pPr>
              <w:pStyle w:val="Style15"/>
              <w:spacing w:line="240" w:lineRule="auto"/>
              <w:ind w:hanging="153"/>
              <w:jc w:val="center"/>
              <w:rPr>
                <w:sz w:val="22"/>
                <w:szCs w:val="22"/>
              </w:rPr>
            </w:pPr>
            <w:r>
              <w:rPr>
                <w:sz w:val="22"/>
                <w:szCs w:val="22"/>
              </w:rPr>
              <w:t>1</w:t>
            </w:r>
            <w:r>
              <w:rPr>
                <w:sz w:val="22"/>
                <w:szCs w:val="22"/>
                <w:vertAlign w:val="superscript"/>
              </w:rPr>
              <w:t>a)</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r>
      <w:tr w:rsidR="00C318BA" w:rsidRPr="00627C55" w:rsidTr="00634AD6">
        <w:trPr>
          <w:trHeight w:hRule="exact" w:val="1589"/>
        </w:trPr>
        <w:tc>
          <w:tcPr>
            <w:tcW w:w="2475"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Deformacja trwała (powiązana funkcjonalnie), dotyczy wymaganej wartości maksymalnego zagłębienia trzpienia większej niż 2,5 mm</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12697-20 drobne kruszywo D &lt; 11,2 mm</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4"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12"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r>
      <w:tr w:rsidR="00C318BA" w:rsidRPr="00627C55" w:rsidTr="00634AD6">
        <w:trPr>
          <w:trHeight w:hRule="exact" w:val="442"/>
        </w:trPr>
        <w:tc>
          <w:tcPr>
            <w:tcW w:w="2475"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Sztywność (funkcjonalna)</w:t>
            </w:r>
          </w:p>
        </w:tc>
        <w:tc>
          <w:tcPr>
            <w:tcW w:w="2857"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15"/>
              <w:spacing w:line="211" w:lineRule="exact"/>
              <w:ind w:left="336" w:right="269" w:firstLine="0"/>
              <w:rPr>
                <w:rStyle w:val="FontStyle63"/>
                <w:sz w:val="22"/>
                <w:szCs w:val="22"/>
              </w:rPr>
            </w:pPr>
            <w:r w:rsidRPr="00627C55">
              <w:rPr>
                <w:rStyle w:val="FontStyle63"/>
                <w:sz w:val="22"/>
                <w:szCs w:val="22"/>
              </w:rPr>
              <w:t>PN-EN 12697-26</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4" w:space="0" w:color="auto"/>
            </w:tcBorders>
          </w:tcPr>
          <w:p w:rsidR="00C318BA" w:rsidRPr="00627C55" w:rsidRDefault="00C318BA" w:rsidP="00C318BA">
            <w:pPr>
              <w:pStyle w:val="Style8"/>
              <w:widowControl/>
              <w:spacing w:line="240" w:lineRule="auto"/>
              <w:ind w:left="211"/>
              <w:jc w:val="center"/>
              <w:rPr>
                <w:rStyle w:val="FontStyle63"/>
                <w:sz w:val="22"/>
                <w:szCs w:val="22"/>
              </w:rPr>
            </w:pPr>
            <w:r w:rsidRPr="00627C55">
              <w:rPr>
                <w:rStyle w:val="FontStyle63"/>
                <w:sz w:val="22"/>
                <w:szCs w:val="22"/>
              </w:rPr>
              <w:t>1</w:t>
            </w:r>
          </w:p>
        </w:tc>
        <w:tc>
          <w:tcPr>
            <w:tcW w:w="797"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spacing w:line="240" w:lineRule="auto"/>
              <w:jc w:val="center"/>
              <w:rPr>
                <w:rStyle w:val="FontStyle63"/>
                <w:sz w:val="22"/>
                <w:szCs w:val="22"/>
              </w:rPr>
            </w:pPr>
            <w:r>
              <w:rPr>
                <w:rStyle w:val="FontStyle63"/>
                <w:sz w:val="22"/>
                <w:szCs w:val="22"/>
              </w:rPr>
              <w:t>-</w:t>
            </w:r>
          </w:p>
        </w:tc>
        <w:tc>
          <w:tcPr>
            <w:tcW w:w="701" w:type="dxa"/>
            <w:tcBorders>
              <w:top w:val="single" w:sz="6" w:space="0" w:color="auto"/>
              <w:left w:val="single" w:sz="4" w:space="0" w:color="auto"/>
              <w:bottom w:val="single" w:sz="6" w:space="0" w:color="auto"/>
              <w:right w:val="single" w:sz="4" w:space="0" w:color="auto"/>
            </w:tcBorders>
          </w:tcPr>
          <w:p w:rsidR="00C318BA" w:rsidRDefault="00C318BA" w:rsidP="00C318BA">
            <w:pPr>
              <w:jc w:val="center"/>
            </w:pPr>
            <w:r w:rsidRPr="008941E7">
              <w:rPr>
                <w:rStyle w:val="FontStyle63"/>
                <w:sz w:val="22"/>
                <w:szCs w:val="22"/>
              </w:rPr>
              <w:t>-</w:t>
            </w:r>
          </w:p>
        </w:tc>
        <w:tc>
          <w:tcPr>
            <w:tcW w:w="712" w:type="dxa"/>
            <w:tcBorders>
              <w:top w:val="single" w:sz="6" w:space="0" w:color="auto"/>
              <w:left w:val="single" w:sz="4" w:space="0" w:color="auto"/>
              <w:bottom w:val="single" w:sz="6" w:space="0" w:color="auto"/>
              <w:right w:val="single" w:sz="6" w:space="0" w:color="auto"/>
            </w:tcBorders>
          </w:tcPr>
          <w:p w:rsidR="00C318BA" w:rsidRDefault="00C318BA" w:rsidP="00C318BA">
            <w:pPr>
              <w:jc w:val="center"/>
            </w:pPr>
            <w:r w:rsidRPr="008941E7">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110"/>
              <w:jc w:val="center"/>
              <w:rPr>
                <w:rStyle w:val="FontStyle63"/>
                <w:sz w:val="22"/>
                <w:szCs w:val="22"/>
              </w:rPr>
            </w:pPr>
            <w:r w:rsidRPr="00627C55">
              <w:rPr>
                <w:rStyle w:val="FontStyle63"/>
                <w:sz w:val="22"/>
                <w:szCs w:val="22"/>
              </w:rPr>
              <w:t>-</w:t>
            </w:r>
          </w:p>
        </w:tc>
      </w:tr>
      <w:tr w:rsidR="00C318BA" w:rsidRPr="00627C55" w:rsidTr="00634AD6">
        <w:trPr>
          <w:trHeight w:hRule="exact" w:val="1270"/>
        </w:trPr>
        <w:tc>
          <w:tcPr>
            <w:tcW w:w="2475"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widowControl/>
              <w:ind w:right="67" w:hanging="5"/>
              <w:jc w:val="both"/>
              <w:rPr>
                <w:rStyle w:val="FontStyle63"/>
                <w:sz w:val="22"/>
                <w:szCs w:val="22"/>
              </w:rPr>
            </w:pPr>
            <w:r w:rsidRPr="00627C55">
              <w:rPr>
                <w:rStyle w:val="FontStyle63"/>
                <w:sz w:val="22"/>
                <w:szCs w:val="22"/>
              </w:rPr>
              <w:t>Zmęczenie (funkcjonalna) do nawierzchni zaprojektowanych wg kryterium opartym na czteropunktowym zginaniu</w:t>
            </w:r>
          </w:p>
        </w:tc>
        <w:tc>
          <w:tcPr>
            <w:tcW w:w="2857"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8"/>
              <w:widowControl/>
              <w:ind w:right="47"/>
              <w:jc w:val="both"/>
              <w:rPr>
                <w:rStyle w:val="FontStyle63"/>
                <w:sz w:val="22"/>
                <w:szCs w:val="22"/>
              </w:rPr>
            </w:pPr>
            <w:r w:rsidRPr="00627C55">
              <w:rPr>
                <w:rStyle w:val="FontStyle63"/>
                <w:sz w:val="22"/>
                <w:szCs w:val="22"/>
              </w:rPr>
              <w:t>PN-EN 12697-24, Załącznik D</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163"/>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4" w:space="0" w:color="auto"/>
            </w:tcBorders>
          </w:tcPr>
          <w:p w:rsidR="00C318BA" w:rsidRPr="00627C55" w:rsidRDefault="00C318BA" w:rsidP="00C318BA">
            <w:pPr>
              <w:pStyle w:val="Style8"/>
              <w:widowControl/>
              <w:spacing w:line="240" w:lineRule="auto"/>
              <w:ind w:left="211"/>
              <w:jc w:val="center"/>
              <w:rPr>
                <w:rStyle w:val="FontStyle63"/>
                <w:sz w:val="22"/>
                <w:szCs w:val="22"/>
              </w:rPr>
            </w:pPr>
            <w:r w:rsidRPr="00627C55">
              <w:rPr>
                <w:rStyle w:val="FontStyle63"/>
                <w:sz w:val="22"/>
                <w:szCs w:val="22"/>
              </w:rPr>
              <w:t>1</w:t>
            </w:r>
          </w:p>
        </w:tc>
        <w:tc>
          <w:tcPr>
            <w:tcW w:w="797"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widowControl/>
              <w:spacing w:line="240" w:lineRule="auto"/>
              <w:ind w:left="264"/>
              <w:jc w:val="center"/>
              <w:rPr>
                <w:rStyle w:val="FontStyle63"/>
                <w:sz w:val="22"/>
                <w:szCs w:val="22"/>
              </w:rPr>
            </w:pPr>
            <w:r w:rsidRPr="00627C55">
              <w:rPr>
                <w:rStyle w:val="FontStyle63"/>
                <w:sz w:val="22"/>
                <w:szCs w:val="22"/>
              </w:rPr>
              <w:t>-</w:t>
            </w:r>
          </w:p>
        </w:tc>
        <w:tc>
          <w:tcPr>
            <w:tcW w:w="701"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widowControl/>
              <w:spacing w:line="240" w:lineRule="auto"/>
              <w:ind w:left="216"/>
              <w:jc w:val="center"/>
              <w:rPr>
                <w:rStyle w:val="FontStyle63"/>
                <w:sz w:val="22"/>
                <w:szCs w:val="22"/>
              </w:rPr>
            </w:pPr>
            <w:r w:rsidRPr="00627C55">
              <w:rPr>
                <w:rStyle w:val="FontStyle63"/>
                <w:sz w:val="22"/>
                <w:szCs w:val="22"/>
              </w:rPr>
              <w:t>-</w:t>
            </w:r>
          </w:p>
        </w:tc>
        <w:tc>
          <w:tcPr>
            <w:tcW w:w="712"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8"/>
              <w:widowControl/>
              <w:spacing w:line="240" w:lineRule="auto"/>
              <w:ind w:left="216"/>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110"/>
              <w:jc w:val="center"/>
              <w:rPr>
                <w:rStyle w:val="FontStyle63"/>
                <w:sz w:val="22"/>
                <w:szCs w:val="22"/>
              </w:rPr>
            </w:pPr>
            <w:r w:rsidRPr="00627C55">
              <w:rPr>
                <w:rStyle w:val="FontStyle63"/>
                <w:sz w:val="22"/>
                <w:szCs w:val="22"/>
              </w:rPr>
              <w:t>-</w:t>
            </w:r>
          </w:p>
        </w:tc>
      </w:tr>
      <w:tr w:rsidR="00C318BA" w:rsidRPr="00627C55" w:rsidTr="00634AD6">
        <w:trPr>
          <w:trHeight w:hRule="exact" w:val="360"/>
        </w:trPr>
        <w:tc>
          <w:tcPr>
            <w:tcW w:w="9342" w:type="dxa"/>
            <w:gridSpan w:val="8"/>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vertAlign w:val="superscript"/>
              </w:rPr>
              <w:t>a)</w:t>
            </w:r>
            <w:r w:rsidRPr="00627C55">
              <w:rPr>
                <w:rStyle w:val="FontStyle63"/>
                <w:sz w:val="22"/>
                <w:szCs w:val="22"/>
              </w:rPr>
              <w:t xml:space="preserve"> Badanie według PN-EN-12697-22, duży aparat</w:t>
            </w:r>
          </w:p>
        </w:tc>
      </w:tr>
    </w:tbl>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33183F" w:rsidRDefault="00E32E97" w:rsidP="00C318B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i/>
          <w:iCs/>
          <w:color w:val="000000"/>
          <w:sz w:val="24"/>
          <w:szCs w:val="24"/>
        </w:rPr>
        <w:t>5.3.1.4</w:t>
      </w:r>
      <w:r w:rsidR="00C318BA" w:rsidRPr="0033183F">
        <w:rPr>
          <w:rFonts w:ascii="Times New Roman" w:hAnsi="Times New Roman"/>
          <w:b/>
          <w:bCs/>
          <w:i/>
          <w:iCs/>
          <w:color w:val="000000"/>
          <w:sz w:val="24"/>
          <w:szCs w:val="24"/>
        </w:rPr>
        <w:t xml:space="preserve">. Zakładowa kontrola produkcji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Należy prowadzić Zakładową kontrolę produkcji - (ZKP) zgodnie z PN-EN 13108-21.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ramach Zakładowej kontroli produkcji należy sprawdzać produkcyjny poziom zgodności metodą pojedynczych wyników, zgodnie z punktem A.3 Załącznika A do normy PN-EN 13108-21.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Oznaczenie produkcyjnego poziomu zgodności jest miarą ogólnego stanu nadzorowania procesu produkcyjnego i polega w uproszczeniu na analizowaniu ostatnich 32 wyników dla wszystkich typów wyrobu. W analizie wynik klasyfikowany jest jako niezgodny, jeżeli którykolwiek z sześciu wyszczególnionych parametrów jest poza zakresem tolerancji podanym w tablicy 12. Odchylenia te zawierają poprawkę ze względu na dokładność pobierania próbek i przebieg badań.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2D4936" w:rsidRDefault="00C318BA" w:rsidP="00C318B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color w:val="000000"/>
          <w:sz w:val="24"/>
          <w:szCs w:val="24"/>
        </w:rPr>
        <w:t xml:space="preserve">Tablica 12. Odchylenia stosowane w ocenie zgodności produkcji mieszanki </w:t>
      </w:r>
      <w:r w:rsidRPr="0033183F">
        <w:rPr>
          <w:rFonts w:ascii="Times New Roman" w:hAnsi="Times New Roman"/>
          <w:b/>
          <w:bCs/>
          <w:color w:val="000000"/>
          <w:sz w:val="24"/>
          <w:szCs w:val="24"/>
        </w:rPr>
        <w:t>mineralno-asfaltowej</w:t>
      </w:r>
      <w:r>
        <w:rPr>
          <w:rFonts w:ascii="Times New Roman" w:hAnsi="Times New Roman"/>
          <w:b/>
          <w:bCs/>
          <w:color w:val="000000"/>
          <w:sz w:val="24"/>
          <w:szCs w:val="24"/>
        </w:rPr>
        <w:t xml:space="preserve"> z dokumentacją projektową</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tbl>
      <w:tblPr>
        <w:tblW w:w="9480" w:type="dxa"/>
        <w:tblInd w:w="40" w:type="dxa"/>
        <w:tblLayout w:type="fixed"/>
        <w:tblCellMar>
          <w:left w:w="40" w:type="dxa"/>
          <w:right w:w="40" w:type="dxa"/>
        </w:tblCellMar>
        <w:tblLook w:val="0000" w:firstRow="0" w:lastRow="0" w:firstColumn="0" w:lastColumn="0" w:noHBand="0" w:noVBand="0"/>
      </w:tblPr>
      <w:tblGrid>
        <w:gridCol w:w="3461"/>
        <w:gridCol w:w="1699"/>
        <w:gridCol w:w="1603"/>
        <w:gridCol w:w="1392"/>
        <w:gridCol w:w="1325"/>
      </w:tblGrid>
      <w:tr w:rsidR="00C318BA" w:rsidRPr="00C318BA" w:rsidTr="00C318BA">
        <w:trPr>
          <w:trHeight w:hRule="exact" w:val="446"/>
        </w:trPr>
        <w:tc>
          <w:tcPr>
            <w:tcW w:w="3461" w:type="dxa"/>
            <w:vMerge w:val="restart"/>
            <w:tcBorders>
              <w:top w:val="single" w:sz="6" w:space="0" w:color="auto"/>
              <w:left w:val="single" w:sz="6" w:space="0" w:color="auto"/>
              <w:bottom w:val="nil"/>
              <w:right w:val="single" w:sz="6" w:space="0" w:color="auto"/>
            </w:tcBorders>
          </w:tcPr>
          <w:p w:rsidR="00C318BA" w:rsidRPr="00C318BA" w:rsidRDefault="00C318BA" w:rsidP="00C318BA">
            <w:pPr>
              <w:pStyle w:val="Style8"/>
              <w:widowControl/>
              <w:spacing w:line="240" w:lineRule="auto"/>
              <w:ind w:left="850"/>
              <w:jc w:val="both"/>
              <w:rPr>
                <w:rStyle w:val="FontStyle63"/>
                <w:sz w:val="20"/>
                <w:szCs w:val="20"/>
              </w:rPr>
            </w:pPr>
            <w:r w:rsidRPr="00C318BA">
              <w:rPr>
                <w:rStyle w:val="FontStyle63"/>
                <w:sz w:val="20"/>
                <w:szCs w:val="20"/>
              </w:rPr>
              <w:t>Przechodzi przez sito</w:t>
            </w:r>
          </w:p>
        </w:tc>
        <w:tc>
          <w:tcPr>
            <w:tcW w:w="3302"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right="206"/>
              <w:jc w:val="center"/>
              <w:rPr>
                <w:rStyle w:val="FontStyle63"/>
                <w:sz w:val="20"/>
                <w:szCs w:val="20"/>
              </w:rPr>
            </w:pPr>
            <w:r w:rsidRPr="00C318BA">
              <w:rPr>
                <w:rStyle w:val="FontStyle63"/>
                <w:sz w:val="20"/>
                <w:szCs w:val="20"/>
              </w:rPr>
              <w:t>Dopuszczalne odchylenie pojedynczej próbki od założonego składu [%]</w:t>
            </w:r>
          </w:p>
        </w:tc>
        <w:tc>
          <w:tcPr>
            <w:tcW w:w="2717"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left="38" w:right="43"/>
              <w:jc w:val="center"/>
              <w:rPr>
                <w:rStyle w:val="FontStyle63"/>
                <w:sz w:val="20"/>
                <w:szCs w:val="20"/>
              </w:rPr>
            </w:pPr>
            <w:r w:rsidRPr="00C318BA">
              <w:rPr>
                <w:rStyle w:val="FontStyle63"/>
                <w:sz w:val="20"/>
                <w:szCs w:val="20"/>
              </w:rPr>
              <w:t>Dopuszczalne odchylenie średnie od założonego składu [%]</w:t>
            </w:r>
          </w:p>
        </w:tc>
      </w:tr>
      <w:tr w:rsidR="00C318BA" w:rsidRPr="00C318BA" w:rsidTr="00C318BA">
        <w:trPr>
          <w:trHeight w:hRule="exact" w:val="494"/>
        </w:trPr>
        <w:tc>
          <w:tcPr>
            <w:tcW w:w="3461" w:type="dxa"/>
            <w:vMerge/>
            <w:tcBorders>
              <w:top w:val="nil"/>
              <w:left w:val="single" w:sz="6" w:space="0" w:color="auto"/>
              <w:bottom w:val="single" w:sz="6" w:space="0" w:color="auto"/>
              <w:right w:val="single" w:sz="6" w:space="0" w:color="auto"/>
            </w:tcBorders>
          </w:tcPr>
          <w:p w:rsidR="00C318BA" w:rsidRPr="00C318BA" w:rsidRDefault="00C318BA" w:rsidP="00C318BA">
            <w:pPr>
              <w:spacing w:after="0"/>
              <w:jc w:val="both"/>
              <w:rPr>
                <w:rStyle w:val="FontStyle63"/>
                <w:sz w:val="20"/>
                <w:szCs w:val="20"/>
              </w:rPr>
            </w:pPr>
          </w:p>
          <w:p w:rsidR="00C318BA" w:rsidRPr="00C318BA" w:rsidRDefault="00C318BA" w:rsidP="00C318BA">
            <w:pPr>
              <w:spacing w:after="0"/>
              <w:jc w:val="both"/>
              <w:rPr>
                <w:rStyle w:val="FontStyle63"/>
                <w:sz w:val="20"/>
                <w:szCs w:val="20"/>
              </w:rPr>
            </w:pP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82" w:right="173"/>
              <w:rPr>
                <w:rStyle w:val="FontStyle63"/>
                <w:sz w:val="20"/>
                <w:szCs w:val="20"/>
              </w:rPr>
            </w:pPr>
            <w:r w:rsidRPr="00C318BA">
              <w:rPr>
                <w:rStyle w:val="FontStyle63"/>
                <w:sz w:val="20"/>
                <w:szCs w:val="20"/>
              </w:rPr>
              <w:t>Mieszanki drobnoziarniste</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97" w:right="182"/>
              <w:rPr>
                <w:rStyle w:val="FontStyle63"/>
                <w:sz w:val="20"/>
                <w:szCs w:val="20"/>
              </w:rPr>
            </w:pPr>
            <w:r w:rsidRPr="00C318BA">
              <w:rPr>
                <w:rStyle w:val="FontStyle63"/>
                <w:sz w:val="20"/>
                <w:szCs w:val="20"/>
              </w:rPr>
              <w:t>Mieszanki gruboziarniste</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29" w:right="19"/>
              <w:rPr>
                <w:rStyle w:val="FontStyle63"/>
                <w:sz w:val="20"/>
                <w:szCs w:val="20"/>
              </w:rPr>
            </w:pPr>
            <w:r w:rsidRPr="00C318BA">
              <w:rPr>
                <w:rStyle w:val="FontStyle63"/>
                <w:sz w:val="20"/>
                <w:szCs w:val="20"/>
              </w:rPr>
              <w:t>Mieszanki drobnoziarniste</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53" w:right="48"/>
              <w:rPr>
                <w:rStyle w:val="FontStyle63"/>
                <w:sz w:val="20"/>
                <w:szCs w:val="20"/>
              </w:rPr>
            </w:pPr>
            <w:r w:rsidRPr="00C318BA">
              <w:rPr>
                <w:rStyle w:val="FontStyle63"/>
                <w:sz w:val="20"/>
                <w:szCs w:val="20"/>
              </w:rPr>
              <w:t>Mieszanki gruboziarniste</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7"/>
              <w:widowControl/>
              <w:jc w:val="both"/>
              <w:rPr>
                <w:rStyle w:val="FontStyle58"/>
                <w:sz w:val="20"/>
                <w:szCs w:val="20"/>
              </w:rPr>
            </w:pPr>
            <w:r w:rsidRPr="00C318BA">
              <w:rPr>
                <w:rStyle w:val="FontStyle58"/>
                <w:sz w:val="20"/>
                <w:szCs w:val="20"/>
              </w:rPr>
              <w:t>D</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-8-+5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r>
      <w:tr w:rsidR="00C318BA" w:rsidRPr="00C318BA" w:rsidTr="00634AD6">
        <w:trPr>
          <w:trHeight w:hRule="exact" w:val="601"/>
        </w:trPr>
        <w:tc>
          <w:tcPr>
            <w:tcW w:w="3461" w:type="dxa"/>
            <w:tcBorders>
              <w:top w:val="single" w:sz="6" w:space="0" w:color="auto"/>
              <w:left w:val="single" w:sz="6" w:space="0" w:color="auto"/>
              <w:bottom w:val="single" w:sz="6" w:space="0" w:color="auto"/>
              <w:right w:val="single" w:sz="6" w:space="0" w:color="auto"/>
            </w:tcBorders>
            <w:vAlign w:val="center"/>
          </w:tcPr>
          <w:p w:rsidR="00C318BA" w:rsidRPr="00C318BA" w:rsidRDefault="00C318BA" w:rsidP="00C318BA">
            <w:pPr>
              <w:pStyle w:val="Style8"/>
              <w:widowControl/>
              <w:ind w:right="312" w:hanging="10"/>
              <w:jc w:val="both"/>
              <w:rPr>
                <w:rStyle w:val="FontStyle63"/>
                <w:sz w:val="20"/>
                <w:szCs w:val="20"/>
              </w:rPr>
            </w:pPr>
            <w:r w:rsidRPr="00C318BA">
              <w:rPr>
                <w:rStyle w:val="FontStyle58"/>
                <w:sz w:val="20"/>
                <w:szCs w:val="20"/>
              </w:rPr>
              <w:t xml:space="preserve">D/2 </w:t>
            </w:r>
            <w:r w:rsidRPr="00C318BA">
              <w:rPr>
                <w:rStyle w:val="FontStyle63"/>
                <w:sz w:val="20"/>
                <w:szCs w:val="20"/>
              </w:rPr>
              <w:t>lub sito charakterystyczne dla kruszywa grubego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2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±6</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r>
      <w:tr w:rsidR="00C318BA" w:rsidRPr="00C318BA" w:rsidTr="00634AD6">
        <w:trPr>
          <w:trHeight w:hRule="exact" w:val="512"/>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Sito charakterystyczne dla kruszywa drobnego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0,063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±1</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634AD6">
        <w:trPr>
          <w:trHeight w:hRule="exact" w:val="326"/>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Zawartość rozpuszczalnego lepiszcza</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±0,6</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Dla każdego wyniku badania należy obliczyć odchylenie średnie od wymaganej wartości następujących parametrów: przesiew przez sita D, D/2 lub sito charakterystyczne dla kruszywa grubego, 2 mm, 0,063 mm oraz zawartość rozpuszczonego lepiszcza. W odniesieniu do wszystkich mieszanek, krocząca bieżąca wartość średnia z odchyleń każdego z tych parametrów powinna być zachowywana z ostatnich 32 analiz. Jeżeli średnie odchylenia przekraczają odpowiednie wartości (tablica 12), to wyrób jest niezgodny z wymaganiami i należy podjąć stosowne działania korygujące. Produkcyjny poziom zgodności, określony na podstawie ilości niezgodnych wyników, który podano w tablicy 13, powinien być oznaczony jako niższy o jeden poziom tak długo, jak średnie odchylenie będzie niższe niż tolerancja. </w:t>
      </w:r>
    </w:p>
    <w:p w:rsidR="002B3AB4" w:rsidRDefault="002B3AB4" w:rsidP="00C318BA">
      <w:pPr>
        <w:widowControl w:val="0"/>
        <w:autoSpaceDE w:val="0"/>
        <w:autoSpaceDN w:val="0"/>
        <w:adjustRightInd w:val="0"/>
        <w:spacing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b/>
          <w:bCs/>
          <w:color w:val="000000"/>
          <w:sz w:val="24"/>
          <w:szCs w:val="24"/>
        </w:rPr>
      </w:pPr>
      <w:r>
        <w:rPr>
          <w:rFonts w:ascii="Times New Roman" w:hAnsi="Times New Roman"/>
          <w:b/>
          <w:bCs/>
          <w:color w:val="000000"/>
          <w:sz w:val="24"/>
          <w:szCs w:val="24"/>
        </w:rPr>
        <w:t>Tablica 13.</w:t>
      </w:r>
      <w:r>
        <w:rPr>
          <w:rFonts w:ascii="Times New Roman" w:hAnsi="Times New Roman"/>
          <w:b/>
          <w:bCs/>
          <w:color w:val="000000"/>
          <w:sz w:val="24"/>
          <w:szCs w:val="24"/>
        </w:rPr>
        <w:tab/>
      </w:r>
      <w:r w:rsidRPr="0033183F">
        <w:rPr>
          <w:rFonts w:ascii="Times New Roman" w:hAnsi="Times New Roman"/>
          <w:b/>
          <w:bCs/>
          <w:color w:val="000000"/>
          <w:sz w:val="24"/>
          <w:szCs w:val="24"/>
        </w:rPr>
        <w:t xml:space="preserve">Określenie produkcyjnego poziomu zgodności wytwórni </w:t>
      </w:r>
    </w:p>
    <w:tbl>
      <w:tblPr>
        <w:tblW w:w="9259" w:type="dxa"/>
        <w:tblInd w:w="40" w:type="dxa"/>
        <w:tblLayout w:type="fixed"/>
        <w:tblCellMar>
          <w:left w:w="40" w:type="dxa"/>
          <w:right w:w="40" w:type="dxa"/>
        </w:tblCellMar>
        <w:tblLook w:val="0000" w:firstRow="0" w:lastRow="0" w:firstColumn="0" w:lastColumn="0" w:noHBand="0" w:noVBand="0"/>
      </w:tblPr>
      <w:tblGrid>
        <w:gridCol w:w="4622"/>
        <w:gridCol w:w="4637"/>
      </w:tblGrid>
      <w:tr w:rsidR="00C318BA" w:rsidRPr="002D4936" w:rsidTr="00C318BA">
        <w:trPr>
          <w:trHeight w:hRule="exact" w:val="557"/>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02" w:lineRule="exact"/>
              <w:ind w:left="226" w:right="202"/>
              <w:jc w:val="both"/>
              <w:rPr>
                <w:rStyle w:val="FontStyle63"/>
                <w:sz w:val="20"/>
                <w:szCs w:val="20"/>
              </w:rPr>
            </w:pPr>
            <w:r w:rsidRPr="002D4936">
              <w:rPr>
                <w:rStyle w:val="FontStyle63"/>
                <w:sz w:val="20"/>
                <w:szCs w:val="20"/>
              </w:rPr>
              <w:t>Pojedyncze wyniki Liczba wyników niezgodnych, spośród ostatnich 32 badań</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Produkcyjny poziom zgodności (PPZ)</w:t>
            </w:r>
          </w:p>
        </w:tc>
      </w:tr>
      <w:tr w:rsidR="00C318BA" w:rsidRPr="002D4936" w:rsidTr="00C318BA">
        <w:trPr>
          <w:trHeight w:hRule="exact" w:val="298"/>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od 0 do 2</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A</w:t>
            </w:r>
          </w:p>
        </w:tc>
      </w:tr>
      <w:tr w:rsidR="00C318BA" w:rsidRPr="002D4936" w:rsidTr="00C318BA">
        <w:trPr>
          <w:trHeight w:hRule="exact" w:val="221"/>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od 3 do 6</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B</w:t>
            </w:r>
          </w:p>
        </w:tc>
      </w:tr>
      <w:tr w:rsidR="00C318BA" w:rsidRPr="002D4936" w:rsidTr="00C318BA">
        <w:trPr>
          <w:trHeight w:hRule="exact" w:val="250"/>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&gt; 6</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C</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tablicy 14 przedstawiono minimalną częstość badań gotowej mieszanki mineralno-asfaltowej w ramach Zakładowej kontroli produkcji kategorii Y i Z.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b/>
          <w:bCs/>
          <w:color w:val="000000"/>
          <w:sz w:val="24"/>
          <w:szCs w:val="24"/>
        </w:rPr>
        <w:t>Tablica 14.</w:t>
      </w:r>
      <w:r w:rsidRPr="0033183F">
        <w:rPr>
          <w:rFonts w:ascii="Times New Roman" w:hAnsi="Times New Roman"/>
          <w:b/>
          <w:bCs/>
          <w:color w:val="000000"/>
          <w:sz w:val="24"/>
          <w:szCs w:val="24"/>
        </w:rPr>
        <w:t xml:space="preserve"> Minimalna częstość badań w ramach Zakładowej kontroli produkcji katego</w:t>
      </w:r>
      <w:r>
        <w:rPr>
          <w:rFonts w:ascii="Times New Roman" w:hAnsi="Times New Roman"/>
          <w:b/>
          <w:bCs/>
          <w:color w:val="000000"/>
          <w:sz w:val="24"/>
          <w:szCs w:val="24"/>
        </w:rPr>
        <w:t xml:space="preserve">rii Y i Z </w:t>
      </w:r>
      <w:r w:rsidRPr="0033183F">
        <w:rPr>
          <w:rFonts w:ascii="Times New Roman" w:hAnsi="Times New Roman"/>
          <w:b/>
          <w:bCs/>
          <w:color w:val="000000"/>
          <w:sz w:val="24"/>
          <w:szCs w:val="24"/>
        </w:rPr>
        <w:t xml:space="preserve">wg Załącznika A, PN-EN 13108-21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2520"/>
        <w:gridCol w:w="1805"/>
        <w:gridCol w:w="1498"/>
        <w:gridCol w:w="1901"/>
        <w:gridCol w:w="1536"/>
      </w:tblGrid>
      <w:tr w:rsidR="00C318BA" w:rsidRPr="002D4936" w:rsidTr="00C318BA">
        <w:trPr>
          <w:trHeight w:hRule="exact" w:val="466"/>
        </w:trPr>
        <w:tc>
          <w:tcPr>
            <w:tcW w:w="2520"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Mieszanka mineralno-asfaltowa</w:t>
            </w:r>
          </w:p>
        </w:tc>
        <w:tc>
          <w:tcPr>
            <w:tcW w:w="1805"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Kategoria</w:t>
            </w:r>
          </w:p>
        </w:tc>
        <w:tc>
          <w:tcPr>
            <w:tcW w:w="4935" w:type="dxa"/>
            <w:gridSpan w:val="3"/>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106"/>
              <w:jc w:val="both"/>
              <w:rPr>
                <w:rStyle w:val="FontStyle63"/>
                <w:sz w:val="20"/>
                <w:szCs w:val="20"/>
              </w:rPr>
            </w:pPr>
            <w:r w:rsidRPr="002D4936">
              <w:rPr>
                <w:rStyle w:val="FontStyle63"/>
                <w:sz w:val="20"/>
                <w:szCs w:val="20"/>
              </w:rPr>
              <w:t>Częstość badań gotowego wyrobu, w zależności od poziomu PPZ,</w:t>
            </w:r>
          </w:p>
          <w:p w:rsidR="00C318BA" w:rsidRPr="002D4936" w:rsidRDefault="00C318BA" w:rsidP="00C318BA">
            <w:pPr>
              <w:pStyle w:val="Style10"/>
              <w:widowControl/>
              <w:spacing w:line="240" w:lineRule="auto"/>
              <w:ind w:left="106"/>
              <w:jc w:val="both"/>
              <w:rPr>
                <w:rStyle w:val="FontStyle63"/>
                <w:sz w:val="20"/>
                <w:szCs w:val="20"/>
              </w:rPr>
            </w:pPr>
            <w:r w:rsidRPr="002D4936">
              <w:rPr>
                <w:rStyle w:val="FontStyle63"/>
                <w:sz w:val="20"/>
                <w:szCs w:val="20"/>
              </w:rPr>
              <w:t>Co</w:t>
            </w:r>
          </w:p>
        </w:tc>
      </w:tr>
      <w:tr w:rsidR="00C318BA" w:rsidRPr="002D4936" w:rsidTr="00C318BA">
        <w:trPr>
          <w:trHeight w:hRule="exact" w:val="259"/>
        </w:trPr>
        <w:tc>
          <w:tcPr>
            <w:tcW w:w="2520"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1805"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149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right="389"/>
              <w:jc w:val="both"/>
              <w:rPr>
                <w:rStyle w:val="FontStyle63"/>
                <w:sz w:val="20"/>
                <w:szCs w:val="20"/>
              </w:rPr>
            </w:pPr>
            <w:r w:rsidRPr="002D4936">
              <w:rPr>
                <w:rStyle w:val="FontStyle63"/>
                <w:sz w:val="20"/>
                <w:szCs w:val="20"/>
              </w:rPr>
              <w:t>PPZ A</w:t>
            </w:r>
          </w:p>
        </w:tc>
        <w:tc>
          <w:tcPr>
            <w:tcW w:w="190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629"/>
              <w:jc w:val="both"/>
              <w:rPr>
                <w:rStyle w:val="FontStyle63"/>
                <w:sz w:val="20"/>
                <w:szCs w:val="20"/>
              </w:rPr>
            </w:pPr>
            <w:r w:rsidRPr="002D4936">
              <w:rPr>
                <w:rStyle w:val="FontStyle63"/>
                <w:sz w:val="20"/>
                <w:szCs w:val="20"/>
              </w:rPr>
              <w:t>PPZB</w:t>
            </w:r>
          </w:p>
        </w:tc>
        <w:tc>
          <w:tcPr>
            <w:tcW w:w="1536"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442"/>
              <w:jc w:val="both"/>
              <w:rPr>
                <w:rStyle w:val="FontStyle63"/>
                <w:sz w:val="20"/>
                <w:szCs w:val="20"/>
              </w:rPr>
            </w:pPr>
            <w:r w:rsidRPr="002D4936">
              <w:rPr>
                <w:rStyle w:val="FontStyle63"/>
                <w:sz w:val="20"/>
                <w:szCs w:val="20"/>
              </w:rPr>
              <w:t>PPZC</w:t>
            </w:r>
          </w:p>
        </w:tc>
      </w:tr>
      <w:tr w:rsidR="00C318BA" w:rsidRPr="002D4936" w:rsidTr="00C318BA">
        <w:trPr>
          <w:trHeight w:hRule="exact" w:val="259"/>
        </w:trPr>
        <w:tc>
          <w:tcPr>
            <w:tcW w:w="252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gruboziarniste</w:t>
            </w:r>
          </w:p>
        </w:tc>
        <w:tc>
          <w:tcPr>
            <w:tcW w:w="1805"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Z</w:t>
            </w:r>
          </w:p>
        </w:tc>
        <w:tc>
          <w:tcPr>
            <w:tcW w:w="149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right="408"/>
              <w:jc w:val="both"/>
              <w:rPr>
                <w:rStyle w:val="FontStyle63"/>
                <w:sz w:val="20"/>
                <w:szCs w:val="20"/>
              </w:rPr>
            </w:pPr>
            <w:r w:rsidRPr="002D4936">
              <w:rPr>
                <w:rStyle w:val="FontStyle63"/>
                <w:sz w:val="20"/>
                <w:szCs w:val="20"/>
              </w:rPr>
              <w:t>2000 t</w:t>
            </w:r>
          </w:p>
        </w:tc>
        <w:tc>
          <w:tcPr>
            <w:tcW w:w="190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648"/>
              <w:jc w:val="both"/>
              <w:rPr>
                <w:rStyle w:val="FontStyle63"/>
                <w:sz w:val="20"/>
                <w:szCs w:val="20"/>
              </w:rPr>
            </w:pPr>
            <w:r w:rsidRPr="002D4936">
              <w:rPr>
                <w:rStyle w:val="FontStyle63"/>
                <w:sz w:val="20"/>
                <w:szCs w:val="20"/>
              </w:rPr>
              <w:t>1000 t</w:t>
            </w:r>
          </w:p>
        </w:tc>
        <w:tc>
          <w:tcPr>
            <w:tcW w:w="1536"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485"/>
              <w:jc w:val="both"/>
              <w:rPr>
                <w:rStyle w:val="FontStyle63"/>
                <w:sz w:val="20"/>
                <w:szCs w:val="20"/>
              </w:rPr>
            </w:pPr>
            <w:r w:rsidRPr="002D4936">
              <w:rPr>
                <w:rStyle w:val="FontStyle63"/>
                <w:sz w:val="20"/>
                <w:szCs w:val="20"/>
              </w:rPr>
              <w:t>500 t</w:t>
            </w:r>
          </w:p>
        </w:tc>
      </w:tr>
      <w:tr w:rsidR="00C318BA" w:rsidRPr="002D4936" w:rsidTr="00C318BA">
        <w:trPr>
          <w:trHeight w:hRule="exact" w:val="288"/>
        </w:trPr>
        <w:tc>
          <w:tcPr>
            <w:tcW w:w="252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drobnoziarniste</w:t>
            </w:r>
          </w:p>
        </w:tc>
        <w:tc>
          <w:tcPr>
            <w:tcW w:w="1805"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Y</w:t>
            </w:r>
          </w:p>
        </w:tc>
        <w:tc>
          <w:tcPr>
            <w:tcW w:w="149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right="403"/>
              <w:jc w:val="both"/>
              <w:rPr>
                <w:rStyle w:val="FontStyle63"/>
                <w:sz w:val="20"/>
                <w:szCs w:val="20"/>
              </w:rPr>
            </w:pPr>
            <w:r w:rsidRPr="002D4936">
              <w:rPr>
                <w:rStyle w:val="FontStyle63"/>
                <w:sz w:val="20"/>
                <w:szCs w:val="20"/>
              </w:rPr>
              <w:t>1000 t</w:t>
            </w:r>
          </w:p>
        </w:tc>
        <w:tc>
          <w:tcPr>
            <w:tcW w:w="190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672"/>
              <w:jc w:val="both"/>
              <w:rPr>
                <w:rStyle w:val="FontStyle63"/>
                <w:sz w:val="20"/>
                <w:szCs w:val="20"/>
              </w:rPr>
            </w:pPr>
            <w:r w:rsidRPr="002D4936">
              <w:rPr>
                <w:rStyle w:val="FontStyle63"/>
                <w:sz w:val="20"/>
                <w:szCs w:val="20"/>
              </w:rPr>
              <w:t>500 t</w:t>
            </w:r>
          </w:p>
        </w:tc>
        <w:tc>
          <w:tcPr>
            <w:tcW w:w="1536"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466"/>
              <w:jc w:val="both"/>
              <w:rPr>
                <w:rStyle w:val="FontStyle63"/>
                <w:sz w:val="20"/>
                <w:szCs w:val="20"/>
              </w:rPr>
            </w:pPr>
            <w:r w:rsidRPr="002D4936">
              <w:rPr>
                <w:rStyle w:val="FontStyle63"/>
                <w:sz w:val="20"/>
                <w:szCs w:val="20"/>
              </w:rPr>
              <w:t>250 t</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Dodatkowe badania właściwości mieszanek asfaltowych należy przeprowadzić zgodnie z PN-EN 13108-21, Załącznik D. W tablicy 15 podano kategorie i wynikającą z nich częstość badań.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b/>
          <w:bCs/>
          <w:color w:val="000000"/>
          <w:sz w:val="24"/>
          <w:szCs w:val="24"/>
        </w:rPr>
        <w:t>Tablica 15.</w:t>
      </w:r>
      <w:r w:rsidRPr="0033183F">
        <w:rPr>
          <w:rFonts w:ascii="Times New Roman" w:hAnsi="Times New Roman"/>
          <w:b/>
          <w:bCs/>
          <w:color w:val="000000"/>
          <w:sz w:val="24"/>
          <w:szCs w:val="24"/>
        </w:rPr>
        <w:t xml:space="preserve"> Minimalna częstość badań dodatkowych w ramach Zakładowej kontroli produkcji </w:t>
      </w:r>
      <w:r>
        <w:rPr>
          <w:rFonts w:ascii="Times New Roman" w:hAnsi="Times New Roman"/>
          <w:b/>
          <w:bCs/>
          <w:color w:val="000000"/>
          <w:sz w:val="24"/>
          <w:szCs w:val="24"/>
        </w:rPr>
        <w:t>wg Załącznika D, PN-EN 13108-21</w:t>
      </w:r>
    </w:p>
    <w:tbl>
      <w:tblPr>
        <w:tblW w:w="0" w:type="auto"/>
        <w:tblInd w:w="40" w:type="dxa"/>
        <w:tblLayout w:type="fixed"/>
        <w:tblCellMar>
          <w:left w:w="40" w:type="dxa"/>
          <w:right w:w="40" w:type="dxa"/>
        </w:tblCellMar>
        <w:tblLook w:val="0000" w:firstRow="0" w:lastRow="0" w:firstColumn="0" w:lastColumn="0" w:noHBand="0" w:noVBand="0"/>
      </w:tblPr>
      <w:tblGrid>
        <w:gridCol w:w="2981"/>
        <w:gridCol w:w="2270"/>
        <w:gridCol w:w="2280"/>
      </w:tblGrid>
      <w:tr w:rsidR="00C318BA" w:rsidRPr="002D4936" w:rsidTr="00C318BA">
        <w:trPr>
          <w:trHeight w:hRule="exact" w:val="341"/>
        </w:trPr>
        <w:tc>
          <w:tcPr>
            <w:tcW w:w="298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Mieszanka mineralno-asfaltowa</w:t>
            </w:r>
          </w:p>
        </w:tc>
        <w:tc>
          <w:tcPr>
            <w:tcW w:w="227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Poziom PPZ</w:t>
            </w:r>
          </w:p>
        </w:tc>
        <w:tc>
          <w:tcPr>
            <w:tcW w:w="228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Częstość badania, co</w:t>
            </w:r>
          </w:p>
        </w:tc>
      </w:tr>
      <w:tr w:rsidR="00C318BA" w:rsidRPr="002D4936" w:rsidTr="00C318BA">
        <w:trPr>
          <w:trHeight w:hRule="exact" w:val="346"/>
        </w:trPr>
        <w:tc>
          <w:tcPr>
            <w:tcW w:w="298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gruboziarniste</w:t>
            </w:r>
          </w:p>
        </w:tc>
        <w:tc>
          <w:tcPr>
            <w:tcW w:w="227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B</w:t>
            </w:r>
          </w:p>
        </w:tc>
        <w:tc>
          <w:tcPr>
            <w:tcW w:w="228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5000 t</w:t>
            </w:r>
          </w:p>
        </w:tc>
      </w:tr>
      <w:tr w:rsidR="00C318BA" w:rsidRPr="002D4936" w:rsidTr="00C318BA">
        <w:trPr>
          <w:trHeight w:hRule="exact" w:val="365"/>
        </w:trPr>
        <w:tc>
          <w:tcPr>
            <w:tcW w:w="298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lastRenderedPageBreak/>
              <w:t>Mieszanki drobnoziarniste</w:t>
            </w:r>
          </w:p>
        </w:tc>
        <w:tc>
          <w:tcPr>
            <w:tcW w:w="227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C</w:t>
            </w:r>
          </w:p>
        </w:tc>
        <w:tc>
          <w:tcPr>
            <w:tcW w:w="228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3000 t</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We wszystkich wypadkach próbki do badań powinny zostać przygotowane w taki sam sposób, jak przygotowane zostały próbki użyte we wstępnej walidacji badania typu danej mieszanki. W szczególności powinna zostać użyta ta sama metoda zagęszczania próbek. We wszystkich wypadkach należy zastosować jednakową procedurę badawczą zgodną z tą, jaka była wykorzystana do wstępnej walidacji badania typu. W tablicy 16 przedstawiono zakres badań dodatkowych w ramach Zakładowej kontroli produkcji.  </w:t>
      </w:r>
    </w:p>
    <w:p w:rsidR="002B3AB4" w:rsidRDefault="002B3AB4" w:rsidP="00C318BA">
      <w:pPr>
        <w:widowControl w:val="0"/>
        <w:autoSpaceDE w:val="0"/>
        <w:autoSpaceDN w:val="0"/>
        <w:adjustRightInd w:val="0"/>
        <w:spacing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color w:val="000000"/>
          <w:sz w:val="24"/>
          <w:szCs w:val="24"/>
        </w:rPr>
        <w:t xml:space="preserve">Tablica 16. </w:t>
      </w:r>
      <w:r w:rsidRPr="0033183F">
        <w:rPr>
          <w:rFonts w:ascii="Times New Roman" w:hAnsi="Times New Roman"/>
          <w:b/>
          <w:bCs/>
          <w:color w:val="000000"/>
          <w:sz w:val="24"/>
          <w:szCs w:val="24"/>
        </w:rPr>
        <w:t>Zakres badań dodatkowych w ramach Zakładowej kontr</w:t>
      </w:r>
      <w:r>
        <w:rPr>
          <w:rFonts w:ascii="Times New Roman" w:hAnsi="Times New Roman"/>
          <w:b/>
          <w:bCs/>
          <w:color w:val="000000"/>
          <w:sz w:val="24"/>
          <w:szCs w:val="24"/>
        </w:rPr>
        <w:t>oli produkcji wg Załącznika D, PN-EN 13108-21</w:t>
      </w:r>
    </w:p>
    <w:p w:rsidR="00C318BA" w:rsidRDefault="00C318BA" w:rsidP="00C318BA">
      <w:pPr>
        <w:widowControl w:val="0"/>
        <w:autoSpaceDE w:val="0"/>
        <w:autoSpaceDN w:val="0"/>
        <w:adjustRightInd w:val="0"/>
        <w:spacing w:after="0" w:line="240" w:lineRule="auto"/>
        <w:jc w:val="both"/>
        <w:rPr>
          <w:rFonts w:ascii="Times New Roman" w:hAnsi="Times New Roman"/>
          <w:sz w:val="24"/>
          <w:szCs w:val="24"/>
        </w:rPr>
      </w:pPr>
    </w:p>
    <w:tbl>
      <w:tblPr>
        <w:tblW w:w="9288" w:type="dxa"/>
        <w:tblInd w:w="40" w:type="dxa"/>
        <w:tblLayout w:type="fixed"/>
        <w:tblCellMar>
          <w:left w:w="40" w:type="dxa"/>
          <w:right w:w="40" w:type="dxa"/>
        </w:tblCellMar>
        <w:tblLook w:val="0000" w:firstRow="0" w:lastRow="0" w:firstColumn="0" w:lastColumn="0" w:noHBand="0" w:noVBand="0"/>
      </w:tblPr>
      <w:tblGrid>
        <w:gridCol w:w="4637"/>
        <w:gridCol w:w="1603"/>
        <w:gridCol w:w="3048"/>
      </w:tblGrid>
      <w:tr w:rsidR="00C318BA" w:rsidRPr="002D4936" w:rsidTr="00C318BA">
        <w:trPr>
          <w:trHeight w:hRule="exact" w:val="274"/>
        </w:trPr>
        <w:tc>
          <w:tcPr>
            <w:tcW w:w="4637"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Właściwość</w:t>
            </w:r>
          </w:p>
        </w:tc>
        <w:tc>
          <w:tcPr>
            <w:tcW w:w="1603"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Metoda badania</w:t>
            </w: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Typ mieszanki według PN-EN 13108</w:t>
            </w:r>
          </w:p>
        </w:tc>
      </w:tr>
      <w:tr w:rsidR="00C318BA" w:rsidRPr="002D4936" w:rsidTr="00C318BA">
        <w:trPr>
          <w:trHeight w:hRule="exact" w:val="250"/>
        </w:trPr>
        <w:tc>
          <w:tcPr>
            <w:tcW w:w="4637"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1603"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AC, BBTM, SMA, PA</w:t>
            </w:r>
          </w:p>
        </w:tc>
      </w:tr>
      <w:tr w:rsidR="00C318BA" w:rsidRPr="002D4936" w:rsidTr="00C318BA">
        <w:trPr>
          <w:trHeight w:hRule="exact" w:val="269"/>
        </w:trPr>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Zawartość wolnych przestrzeni, [%(v/v)]</w:t>
            </w:r>
          </w:p>
        </w:tc>
        <w:tc>
          <w:tcPr>
            <w:tcW w:w="1603"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PN-EN 12697-8</w:t>
            </w: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w:t>
            </w:r>
          </w:p>
        </w:tc>
      </w:tr>
      <w:tr w:rsidR="00C318BA" w:rsidRPr="002D4936" w:rsidTr="00C318BA">
        <w:trPr>
          <w:trHeight w:hRule="exact" w:val="878"/>
        </w:trPr>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ind w:right="211"/>
              <w:jc w:val="both"/>
              <w:rPr>
                <w:rStyle w:val="FontStyle63"/>
                <w:sz w:val="20"/>
                <w:szCs w:val="20"/>
              </w:rPr>
            </w:pPr>
            <w:r w:rsidRPr="002D4936">
              <w:rPr>
                <w:rStyle w:val="FontStyle63"/>
                <w:sz w:val="20"/>
                <w:szCs w:val="20"/>
              </w:rPr>
              <w:t>Gdy jest używany destrukt asfaltowy, badania właściwości odzyskanego lepiszcza</w:t>
            </w:r>
          </w:p>
        </w:tc>
        <w:tc>
          <w:tcPr>
            <w:tcW w:w="1603"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ind w:right="106"/>
              <w:jc w:val="both"/>
              <w:rPr>
                <w:rStyle w:val="FontStyle63"/>
                <w:sz w:val="20"/>
                <w:szCs w:val="20"/>
                <w:lang w:val="de-DE"/>
              </w:rPr>
            </w:pPr>
            <w:r w:rsidRPr="002D4936">
              <w:rPr>
                <w:rStyle w:val="FontStyle63"/>
                <w:sz w:val="20"/>
                <w:szCs w:val="20"/>
                <w:lang w:val="de-DE"/>
              </w:rPr>
              <w:t>PN-EN 12697-3 PN-EN 12697-4 PN-EN 1426 PN-EN 1427</w:t>
            </w: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w:t>
            </w:r>
          </w:p>
        </w:tc>
      </w:tr>
    </w:tbl>
    <w:p w:rsidR="00C318BA" w:rsidRDefault="00C318BA" w:rsidP="00C318BA">
      <w:pPr>
        <w:widowControl w:val="0"/>
        <w:autoSpaceDE w:val="0"/>
        <w:autoSpaceDN w:val="0"/>
        <w:adjustRightInd w:val="0"/>
        <w:spacing w:after="0" w:line="240" w:lineRule="auto"/>
        <w:jc w:val="both"/>
        <w:rPr>
          <w:rFonts w:ascii="Times New Roman" w:hAnsi="Times New Roman"/>
          <w:b/>
          <w:bCs/>
          <w:i/>
          <w:iCs/>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5.3.1.6. Deklaracje zgodności i oznakowanie CE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i/>
          <w:iCs/>
          <w:color w:val="000000"/>
          <w:sz w:val="24"/>
          <w:szCs w:val="24"/>
        </w:rPr>
        <w:t xml:space="preserve">Certyfikat i deklaracje zgodności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wypadku systemu 2+: Jeżeli zgodność z warunkami tego załącznika jest osiągnięta, jednostka notyfikowana wystawiła certyfikat wspomniany poniżej, producent lub jego przedstawiciel ustanowiony w EOG powinien przygotować i zachować deklarację zgodności, która upoważnia producenta do umieszczenia znaku CE.  </w:t>
      </w:r>
    </w:p>
    <w:p w:rsidR="00C318BA" w:rsidRPr="00B82DE0"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B82DE0">
        <w:rPr>
          <w:rFonts w:ascii="Times New Roman" w:hAnsi="Times New Roman"/>
          <w:color w:val="000000"/>
          <w:sz w:val="24"/>
          <w:szCs w:val="24"/>
        </w:rPr>
        <w:t xml:space="preserve">Deklaracja powinna zawierać: </w:t>
      </w:r>
    </w:p>
    <w:p w:rsidR="00C318BA" w:rsidRPr="00B82DE0" w:rsidRDefault="00C318BA" w:rsidP="00C318BA">
      <w:pPr>
        <w:widowControl w:val="0"/>
        <w:autoSpaceDE w:val="0"/>
        <w:autoSpaceDN w:val="0"/>
        <w:adjustRightInd w:val="0"/>
        <w:spacing w:after="0" w:line="240" w:lineRule="auto"/>
        <w:ind w:left="454"/>
        <w:jc w:val="both"/>
        <w:rPr>
          <w:rFonts w:ascii="Arial" w:hAnsi="Arial" w:cs="Arial"/>
          <w:sz w:val="24"/>
          <w:szCs w:val="24"/>
        </w:rPr>
      </w:pPr>
      <w:r w:rsidRPr="00B82DE0">
        <w:rPr>
          <w:rFonts w:ascii="Times New Roman" w:hAnsi="Times New Roman"/>
          <w:color w:val="000000"/>
          <w:sz w:val="24"/>
          <w:szCs w:val="24"/>
        </w:rPr>
        <w:t xml:space="preserve">- numer nadany przez producenta; </w:t>
      </w:r>
    </w:p>
    <w:p w:rsidR="00C318BA" w:rsidRPr="00B82DE0" w:rsidRDefault="00C318BA" w:rsidP="00C318BA">
      <w:pPr>
        <w:widowControl w:val="0"/>
        <w:autoSpaceDE w:val="0"/>
        <w:autoSpaceDN w:val="0"/>
        <w:adjustRightInd w:val="0"/>
        <w:spacing w:after="0" w:line="240" w:lineRule="auto"/>
        <w:ind w:firstLine="454"/>
        <w:rPr>
          <w:rFonts w:ascii="Arial" w:hAnsi="Arial" w:cs="Arial"/>
          <w:sz w:val="24"/>
          <w:szCs w:val="24"/>
        </w:rPr>
      </w:pPr>
      <w:r w:rsidRPr="00B82DE0">
        <w:rPr>
          <w:rFonts w:ascii="Times New Roman" w:hAnsi="Times New Roman"/>
          <w:color w:val="000000"/>
          <w:sz w:val="24"/>
          <w:szCs w:val="24"/>
        </w:rPr>
        <w:t xml:space="preserve">-nazwę i adres producenta lub jego upoważnionego przedstawiciela zgłoszonego w Europejskim Obszarze     Gospodarczym oraz miejsce produkcji; </w:t>
      </w:r>
    </w:p>
    <w:p w:rsidR="00C318BA" w:rsidRPr="00B82DE0" w:rsidRDefault="00C318BA" w:rsidP="00C318BA">
      <w:pPr>
        <w:widowControl w:val="0"/>
        <w:autoSpaceDE w:val="0"/>
        <w:autoSpaceDN w:val="0"/>
        <w:adjustRightInd w:val="0"/>
        <w:spacing w:after="0" w:line="240" w:lineRule="auto"/>
        <w:ind w:left="454"/>
        <w:rPr>
          <w:rFonts w:ascii="Arial" w:hAnsi="Arial" w:cs="Arial"/>
          <w:sz w:val="24"/>
          <w:szCs w:val="24"/>
        </w:rPr>
      </w:pPr>
      <w:r w:rsidRPr="00B82DE0">
        <w:rPr>
          <w:rFonts w:ascii="Times New Roman" w:hAnsi="Times New Roman"/>
          <w:color w:val="000000"/>
          <w:sz w:val="24"/>
          <w:szCs w:val="24"/>
        </w:rPr>
        <w:t xml:space="preserve">-opis wyrobu i jego deklarowane właściwości (np. rodzaj, dane identyfikujące, zastosowanie); </w:t>
      </w:r>
    </w:p>
    <w:p w:rsidR="00C318BA" w:rsidRPr="00B82DE0" w:rsidRDefault="00C318BA" w:rsidP="00C318BA">
      <w:pPr>
        <w:widowControl w:val="0"/>
        <w:autoSpaceDE w:val="0"/>
        <w:autoSpaceDN w:val="0"/>
        <w:adjustRightInd w:val="0"/>
        <w:spacing w:after="0" w:line="240" w:lineRule="auto"/>
        <w:ind w:left="454"/>
        <w:rPr>
          <w:rFonts w:ascii="Arial" w:hAnsi="Arial" w:cs="Arial"/>
          <w:sz w:val="24"/>
          <w:szCs w:val="24"/>
        </w:rPr>
      </w:pPr>
      <w:r w:rsidRPr="00B82DE0">
        <w:rPr>
          <w:rFonts w:ascii="Times New Roman" w:hAnsi="Times New Roman"/>
          <w:color w:val="000000"/>
          <w:sz w:val="24"/>
          <w:szCs w:val="24"/>
        </w:rPr>
        <w:t>-warunki, którym odpowiada wyrób, tj.: odniesienie do obowiązujących norm europejskich, zgodnie z następującym przyporządkowaniem</w:t>
      </w:r>
    </w:p>
    <w:p w:rsidR="00C318BA" w:rsidRPr="00B82DE0" w:rsidRDefault="00C318BA" w:rsidP="00C318BA">
      <w:pPr>
        <w:widowControl w:val="0"/>
        <w:autoSpaceDE w:val="0"/>
        <w:autoSpaceDN w:val="0"/>
        <w:adjustRightInd w:val="0"/>
        <w:spacing w:after="0" w:line="240" w:lineRule="auto"/>
        <w:ind w:left="1267"/>
        <w:jc w:val="both"/>
        <w:rPr>
          <w:rFonts w:ascii="Arial" w:hAnsi="Arial" w:cs="Arial"/>
          <w:sz w:val="24"/>
          <w:szCs w:val="24"/>
        </w:rPr>
      </w:pPr>
      <w:r w:rsidRPr="00B82DE0">
        <w:rPr>
          <w:rFonts w:ascii="Times New Roman" w:hAnsi="Times New Roman"/>
          <w:color w:val="000000"/>
          <w:sz w:val="24"/>
          <w:szCs w:val="24"/>
        </w:rPr>
        <w:t xml:space="preserve">• AC PN-EN 13108-1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warunki stosowania wyrobu;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numer i adres jednostki certyfikującej oraz nr certyfikatu Zakładowej kontroli produkcji;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Pr>
          <w:rFonts w:ascii="Times New Roman" w:hAnsi="Times New Roman"/>
          <w:color w:val="000000"/>
          <w:sz w:val="24"/>
          <w:szCs w:val="24"/>
        </w:rPr>
        <w:t>-  nazwisko i stanowisko osoby upoważnionej</w:t>
      </w:r>
      <w:r w:rsidRPr="00B82DE0">
        <w:rPr>
          <w:rFonts w:ascii="Times New Roman" w:hAnsi="Times New Roman"/>
          <w:color w:val="000000"/>
          <w:sz w:val="24"/>
          <w:szCs w:val="24"/>
        </w:rPr>
        <w:t xml:space="preserve"> do podpisywania deklaracji zgodności w imieniu producenta lub jego upoważnionego przedstawiciela;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datę uzyskania.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Do deklaracji zgodności powinien być dołączony certyfikat Zakładowej kontroli produkcji wydany przez jednostkę certyfikującą, zawierający poza podanymi wyżej informacjami: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nazwę i adres jednostki certyfikującej;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numer certyfikatu Zakładowej kontroli produkcji;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warunki i okres ważności certyfikatu, jeżeli ma to zastosowanie;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nazwisko i stanowisko osoby upoważnionej do podpisywania certyfikatu.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Powyższą deklarację należy przygotować w jednym z języków oficjalnych UE (angielskim, francuskim lub niemieckim) lub w języku kraju członkowskiego UE, w którym wyrób będzie stosowany.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i/>
          <w:iCs/>
          <w:color w:val="000000"/>
          <w:sz w:val="24"/>
          <w:szCs w:val="24"/>
        </w:rPr>
        <w:t xml:space="preserve">Oznakowanie CE i etykietowanie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Producent lub jego upoważniony przedstawiciel zgłoszony w EOG jest odpowiedzialny, za umieszczenie oznakowania CE. Znak CE należy umieścić zgodnie z Dyrektywą 93/68/EWG na etykiecie znajdującej się na opakowaniu lub dołączonej do dokumentów handlowych (np. </w:t>
      </w:r>
      <w:r w:rsidRPr="00B82DE0">
        <w:rPr>
          <w:rFonts w:ascii="Times New Roman" w:hAnsi="Times New Roman"/>
          <w:color w:val="000000"/>
          <w:sz w:val="24"/>
          <w:szCs w:val="24"/>
        </w:rPr>
        <w:lastRenderedPageBreak/>
        <w:t xml:space="preserve">listu przewozowego). Do znakowania znakiem CE powinny być dołączone następujące informacje: -numer identyfikacyjny jednostki certyfikującej;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-nazwa lub znak identyfikacyjny oraz zarejestrowany adres producenta;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-dwie ostatnie cyfry roku, w którym umieszczono oznakowanie CE;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-numer certyfikatu zgodności WE lub certyfikatu Zakładowej kontroli produkcji (jeżeli dotyczy), numer certyfikatu ZKP (dotyczy tylko wyrobów ocenianych w systemie 2+);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-odniesienie do obowiązujących europejskich norm, zgodnie z następującym przyporządkowaniem: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AC PN-EN 13108-1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-opis wyrobu, w tym m.in.: nazwa, wymiar i przewidywane zastosowanie;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-informacje na temat podstawowych właściwości przedstawione jako: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wartości deklarowane i, gdy jest to konieczne, poziom lub klasa w celu określenia każdej z podstawowych właściwości zgodnie z „uwagami",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B82DE0">
        <w:rPr>
          <w:rFonts w:ascii="Times New Roman" w:hAnsi="Times New Roman"/>
          <w:color w:val="000000"/>
          <w:sz w:val="24"/>
          <w:szCs w:val="24"/>
        </w:rPr>
        <w:t xml:space="preserve">lub alternatywnie, tylko normowe oznaczenie lub w połączeniu z deklarowanymi wartościami jak powyżej, oraz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„właściwość nieoznaczana" w wypadku właściwości, wobec których jest to zasadne.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Opcja „właściwość nieoznaczana" (NPD) nie może być stosowana, jeżeli dana właściwość osiąga wartość dopuszczalną. W innym wypadku opcja NPD może być stosowana wtedy, gdy ta właściwość - przy zamierzonym stosowaniu - nie jest objęta wymaganiami zawartymi w przepisach.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Deklarację i certyfikat należy przedłożyć w języku polskim.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b/>
          <w:bCs/>
          <w:color w:val="000000"/>
          <w:sz w:val="24"/>
          <w:szCs w:val="24"/>
        </w:rPr>
        <w:t xml:space="preserve">5.4.  Przygotowanie podłoża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Podłożem </w:t>
      </w:r>
      <w:r w:rsidR="007C5844">
        <w:rPr>
          <w:rFonts w:ascii="Times New Roman" w:hAnsi="Times New Roman"/>
          <w:color w:val="000000"/>
          <w:sz w:val="24"/>
          <w:szCs w:val="24"/>
        </w:rPr>
        <w:t>dla układanej warstwy wiążącej</w:t>
      </w:r>
      <w:r>
        <w:rPr>
          <w:rFonts w:ascii="Times New Roman" w:hAnsi="Times New Roman"/>
          <w:color w:val="000000"/>
          <w:sz w:val="24"/>
          <w:szCs w:val="24"/>
        </w:rPr>
        <w:t xml:space="preserve"> jest </w:t>
      </w:r>
      <w:r w:rsidR="007C5844">
        <w:rPr>
          <w:rFonts w:ascii="Times New Roman" w:hAnsi="Times New Roman"/>
          <w:color w:val="000000"/>
          <w:sz w:val="24"/>
          <w:szCs w:val="24"/>
        </w:rPr>
        <w:t>istniejące podłoże</w:t>
      </w:r>
      <w:r w:rsidR="002B3AB4">
        <w:rPr>
          <w:rFonts w:ascii="Times New Roman" w:hAnsi="Times New Roman"/>
          <w:color w:val="000000"/>
          <w:sz w:val="24"/>
          <w:szCs w:val="24"/>
        </w:rPr>
        <w:t xml:space="preserve"> </w:t>
      </w:r>
      <w:r w:rsidR="00E32E97">
        <w:rPr>
          <w:rFonts w:ascii="Times New Roman" w:hAnsi="Times New Roman"/>
          <w:color w:val="000000"/>
          <w:sz w:val="24"/>
          <w:szCs w:val="24"/>
        </w:rPr>
        <w:t xml:space="preserve">przygotowane </w:t>
      </w:r>
      <w:r w:rsidR="007C5844">
        <w:rPr>
          <w:rFonts w:ascii="Times New Roman" w:hAnsi="Times New Roman"/>
          <w:color w:val="000000"/>
          <w:sz w:val="24"/>
          <w:szCs w:val="24"/>
        </w:rPr>
        <w:t>wg SST D.04.01.01.</w:t>
      </w:r>
      <w:r w:rsidRPr="00B82DE0">
        <w:rPr>
          <w:rFonts w:ascii="Times New Roman" w:hAnsi="Times New Roman"/>
          <w:color w:val="000000"/>
          <w:sz w:val="24"/>
          <w:szCs w:val="24"/>
        </w:rPr>
        <w:t xml:space="preserve"> </w:t>
      </w:r>
      <w:r w:rsidR="00E32E97">
        <w:rPr>
          <w:rFonts w:ascii="Times New Roman" w:hAnsi="Times New Roman"/>
          <w:color w:val="000000"/>
          <w:sz w:val="24"/>
          <w:szCs w:val="24"/>
        </w:rPr>
        <w:t>Podłożem pod warstwę wyrównawczą jest istniejąca nawierzchnia asfaltowa lub powierzchniowe utrwalenie.</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Podłoże pod warstwę asfaltową na całej powierzchni powinno być: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-ustabilizowane i nośne;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-czyste, bez zanieczyszczenia lub pozostałości luźnego kruszywa;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-wyprofilowane, równe i bez kolein.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W przypadku podłoża z nowo wykonanej warstwy asfaltowej do oceny nierówności należy przyjąć dane z pomiaru równości tej warstwy, zgodnie z punktem 6.2.2.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Jeżeli nierówności poprzeczne są większe niż dopuszczalne, w wypadku podłoża pod warstwy asfaltowe wałowane, to należy wyrównać podłoże.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Rzędne wysokościowe podłoża oraz urządzeń usytuowanych w nawierzchni lub ją ograniczających powinny być zgodne z dokumentacją projektową.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Z podłoża powinien być zapewniony odpływ wody. Podłoże powinno być wolne od zanieczyszczeń organicznych takich jak tłuszcze, smary i oleje. Podłoże musi być czyste, nie może być na nim śniegu lub lodu.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Powierzchnia podłoża pod warstwę nawierzchni z betonu asfaltowego powinna być sucha i czysta.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Nierówności podłoża pod warstwę nawierzchni nie powinny być większe niż dopuszczalne warto</w:t>
      </w:r>
      <w:r>
        <w:rPr>
          <w:rFonts w:ascii="Times New Roman" w:hAnsi="Times New Roman"/>
          <w:color w:val="000000"/>
          <w:sz w:val="24"/>
          <w:szCs w:val="24"/>
        </w:rPr>
        <w:t>ści podane w odpowiednich SST.</w:t>
      </w:r>
    </w:p>
    <w:p w:rsidR="00C318BA" w:rsidRPr="00B82DE0" w:rsidRDefault="0001527E"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color w:val="000000"/>
          <w:sz w:val="24"/>
          <w:szCs w:val="24"/>
        </w:rPr>
        <w:t>5.5</w:t>
      </w:r>
      <w:r w:rsidR="003A6259">
        <w:rPr>
          <w:rFonts w:ascii="Times New Roman" w:hAnsi="Times New Roman"/>
          <w:b/>
          <w:bCs/>
          <w:color w:val="000000"/>
          <w:sz w:val="24"/>
          <w:szCs w:val="24"/>
        </w:rPr>
        <w:t xml:space="preserve">. </w:t>
      </w:r>
      <w:r w:rsidR="00C318BA" w:rsidRPr="00B82DE0">
        <w:rPr>
          <w:rFonts w:ascii="Times New Roman" w:hAnsi="Times New Roman"/>
          <w:b/>
          <w:bCs/>
          <w:color w:val="000000"/>
          <w:sz w:val="24"/>
          <w:szCs w:val="24"/>
        </w:rPr>
        <w:t xml:space="preserve">Warunki przystąpienia do robót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Mieszankę mineralno-asfaltowa należy wbudowywać w sprzyjających warunkach </w:t>
      </w:r>
      <w:r>
        <w:rPr>
          <w:rFonts w:ascii="Times New Roman" w:hAnsi="Times New Roman"/>
          <w:color w:val="000000"/>
          <w:sz w:val="24"/>
          <w:szCs w:val="24"/>
        </w:rPr>
        <w:t>atmosferycznych.</w:t>
      </w: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r w:rsidRPr="00B82DE0">
        <w:rPr>
          <w:rFonts w:ascii="Times New Roman" w:hAnsi="Times New Roman"/>
          <w:color w:val="000000"/>
          <w:sz w:val="24"/>
          <w:szCs w:val="24"/>
        </w:rPr>
        <w:t>Nie wolno wbudowywać b</w:t>
      </w:r>
      <w:r w:rsidR="003A6259">
        <w:rPr>
          <w:rFonts w:ascii="Times New Roman" w:hAnsi="Times New Roman"/>
          <w:color w:val="000000"/>
          <w:sz w:val="24"/>
          <w:szCs w:val="24"/>
        </w:rPr>
        <w:t xml:space="preserve">etonu asfaltowego </w:t>
      </w:r>
      <w:r w:rsidRPr="00B82DE0">
        <w:rPr>
          <w:rFonts w:ascii="Times New Roman" w:hAnsi="Times New Roman"/>
          <w:color w:val="000000"/>
          <w:sz w:val="24"/>
          <w:szCs w:val="24"/>
        </w:rPr>
        <w:t xml:space="preserve">gdy na podłożu tworzy się zamknięty film wodny. Temperatura otoczenia w ciągu doby nie powinna być niższa od temperatury podanej w tablicy 17. </w:t>
      </w:r>
    </w:p>
    <w:p w:rsidR="00C318BA" w:rsidRDefault="00C318BA"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01527E" w:rsidRDefault="0001527E"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r w:rsidRPr="00B82DE0">
        <w:rPr>
          <w:rFonts w:ascii="Times New Roman" w:hAnsi="Times New Roman"/>
          <w:b/>
          <w:bCs/>
          <w:color w:val="000000"/>
          <w:sz w:val="24"/>
          <w:szCs w:val="24"/>
        </w:rPr>
        <w:t>Tablica 17.  Minimalna temperatura otoczenie podczas wykonania warstw asfaltowych</w:t>
      </w: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p>
    <w:tbl>
      <w:tblPr>
        <w:tblW w:w="9154" w:type="dxa"/>
        <w:tblInd w:w="40" w:type="dxa"/>
        <w:tblLayout w:type="fixed"/>
        <w:tblCellMar>
          <w:left w:w="40" w:type="dxa"/>
          <w:right w:w="40" w:type="dxa"/>
        </w:tblCellMar>
        <w:tblLook w:val="0000" w:firstRow="0" w:lastRow="0" w:firstColumn="0" w:lastColumn="0" w:noHBand="0" w:noVBand="0"/>
      </w:tblPr>
      <w:tblGrid>
        <w:gridCol w:w="3317"/>
        <w:gridCol w:w="2736"/>
        <w:gridCol w:w="3101"/>
      </w:tblGrid>
      <w:tr w:rsidR="00C318BA" w:rsidRPr="00F05B25" w:rsidTr="00C318BA">
        <w:trPr>
          <w:trHeight w:hRule="exact" w:val="274"/>
        </w:trPr>
        <w:tc>
          <w:tcPr>
            <w:tcW w:w="3317" w:type="dxa"/>
            <w:vMerge w:val="restart"/>
            <w:tcBorders>
              <w:top w:val="single" w:sz="6" w:space="0" w:color="auto"/>
              <w:left w:val="single" w:sz="6" w:space="0" w:color="auto"/>
              <w:bottom w:val="nil"/>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Rodzaj robót</w:t>
            </w:r>
          </w:p>
        </w:tc>
        <w:tc>
          <w:tcPr>
            <w:tcW w:w="5837" w:type="dxa"/>
            <w:gridSpan w:val="2"/>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ind w:left="1406"/>
              <w:jc w:val="both"/>
              <w:rPr>
                <w:rStyle w:val="FontStyle63"/>
                <w:sz w:val="20"/>
                <w:szCs w:val="20"/>
              </w:rPr>
            </w:pPr>
            <w:r w:rsidRPr="00F05B25">
              <w:rPr>
                <w:rStyle w:val="FontStyle63"/>
                <w:sz w:val="20"/>
                <w:szCs w:val="20"/>
              </w:rPr>
              <w:t>Minimalna temperatura otoczenia [°C]</w:t>
            </w:r>
          </w:p>
        </w:tc>
      </w:tr>
      <w:tr w:rsidR="00C318BA" w:rsidRPr="00F05B25" w:rsidTr="00C318BA">
        <w:trPr>
          <w:trHeight w:hRule="exact" w:val="269"/>
        </w:trPr>
        <w:tc>
          <w:tcPr>
            <w:tcW w:w="3317" w:type="dxa"/>
            <w:vMerge/>
            <w:tcBorders>
              <w:top w:val="nil"/>
              <w:left w:val="single" w:sz="6" w:space="0" w:color="auto"/>
              <w:bottom w:val="single" w:sz="6" w:space="0" w:color="auto"/>
              <w:right w:val="single" w:sz="6" w:space="0" w:color="auto"/>
            </w:tcBorders>
          </w:tcPr>
          <w:p w:rsidR="00C318BA" w:rsidRPr="00F05B25" w:rsidRDefault="00C318BA" w:rsidP="00C318BA">
            <w:pPr>
              <w:jc w:val="both"/>
              <w:rPr>
                <w:rStyle w:val="FontStyle63"/>
                <w:sz w:val="20"/>
                <w:szCs w:val="20"/>
              </w:rPr>
            </w:pPr>
          </w:p>
          <w:p w:rsidR="00C318BA" w:rsidRPr="00F05B25" w:rsidRDefault="00C318BA" w:rsidP="00C318BA">
            <w:pPr>
              <w:jc w:val="both"/>
              <w:rPr>
                <w:rStyle w:val="FontStyle63"/>
                <w:sz w:val="20"/>
                <w:szCs w:val="20"/>
              </w:rPr>
            </w:pP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przed przystąpieniem do robót</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 czasie robót</w:t>
            </w:r>
          </w:p>
        </w:tc>
      </w:tr>
      <w:tr w:rsidR="00C318BA" w:rsidRPr="00F05B25" w:rsidTr="00C318BA">
        <w:trPr>
          <w:trHeight w:hRule="exact" w:val="259"/>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ścieralna o grubości &gt; 3 cm</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0</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+5</w:t>
            </w:r>
          </w:p>
        </w:tc>
      </w:tr>
      <w:tr w:rsidR="00C318BA" w:rsidRPr="00F05B25" w:rsidTr="00C318BA">
        <w:trPr>
          <w:trHeight w:hRule="exact" w:val="288"/>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ścieralna o grubości &lt; 3 cm</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+5</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+10</w:t>
            </w:r>
          </w:p>
        </w:tc>
      </w:tr>
      <w:tr w:rsidR="00C318BA" w:rsidRPr="00F05B25" w:rsidTr="00C318BA">
        <w:trPr>
          <w:trHeight w:hRule="exact" w:val="288"/>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wiążąca</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-2</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0</w:t>
            </w:r>
          </w:p>
        </w:tc>
      </w:tr>
      <w:tr w:rsidR="00C318BA" w:rsidRPr="00F05B25" w:rsidTr="00C318BA">
        <w:trPr>
          <w:trHeight w:hRule="exact" w:val="298"/>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podbudowy</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-5</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-3</w:t>
            </w:r>
          </w:p>
        </w:tc>
      </w:tr>
    </w:tbl>
    <w:p w:rsidR="00C318BA" w:rsidRDefault="00C318BA" w:rsidP="00C318BA">
      <w:pPr>
        <w:widowControl w:val="0"/>
        <w:autoSpaceDE w:val="0"/>
        <w:autoSpaceDN w:val="0"/>
        <w:adjustRightInd w:val="0"/>
        <w:spacing w:before="12" w:after="0" w:line="240" w:lineRule="auto"/>
        <w:jc w:val="both"/>
        <w:rPr>
          <w:rFonts w:ascii="Times New Roman" w:hAnsi="Times New Roman"/>
          <w:color w:val="000000"/>
          <w:sz w:val="24"/>
          <w:szCs w:val="24"/>
        </w:rPr>
      </w:pP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Temperatura powietrza powinna być mierzona, co najmniej 3 razy dziennie: przed przystąpieniem do robót oraz podczas ich wykonywania w okresach równomiernie rozłożonych w planowanym czasie realizacji dziennej działki roboczej. Temperatura otoczenia może być niższa w wypadku stosowania ogrzewania podłoża i obramowania (np. promienniki podczerwieni, urządzenia mikrofalowe).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 wypadku stosowania mieszanek mineralno-asfaltowych z dodatkiem obniżającym temperaturę mieszania i wbudowania należy indywidualnie określić wymagane warunki otoczenia.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Warunki atmosferyczne powinny zapewniać zakończenie zagęszczania mieszanki MA zanim jej temperatura opadnie poniżej minimalnej temperatury w czasie zagęszczania wymaganej dla mieszanek opisanych w niniejszej SST. </w:t>
      </w:r>
    </w:p>
    <w:p w:rsidR="00C318BA" w:rsidRPr="00B82DE0" w:rsidRDefault="0001527E"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color w:val="000000"/>
          <w:sz w:val="24"/>
          <w:szCs w:val="24"/>
        </w:rPr>
        <w:t>5.6</w:t>
      </w:r>
      <w:r w:rsidR="00C318BA" w:rsidRPr="00B82DE0">
        <w:rPr>
          <w:rFonts w:ascii="Times New Roman" w:hAnsi="Times New Roman"/>
          <w:b/>
          <w:bCs/>
          <w:color w:val="000000"/>
          <w:sz w:val="24"/>
          <w:szCs w:val="24"/>
        </w:rPr>
        <w:t xml:space="preserve">.  Wykonanie warstwy z betonu asfaltowego </w:t>
      </w:r>
    </w:p>
    <w:p w:rsidR="00C318BA" w:rsidRPr="00B82DE0" w:rsidRDefault="0001527E"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5.6</w:t>
      </w:r>
      <w:r w:rsidR="00C318BA" w:rsidRPr="00B82DE0">
        <w:rPr>
          <w:rFonts w:ascii="Times New Roman" w:hAnsi="Times New Roman"/>
          <w:b/>
          <w:bCs/>
          <w:i/>
          <w:iCs/>
          <w:color w:val="000000"/>
          <w:sz w:val="24"/>
          <w:szCs w:val="24"/>
        </w:rPr>
        <w:t xml:space="preserve">.1. Wbudowywanie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Mieszankę mineralno-asfaltową można wbudowywać na podłożu przygotowanym zgodnie z zapisami w punktach 5.4 i 5.5. Mieszankę mineralno-asfaltową należy wbudowywać w sprzyjających warunkach atmos</w:t>
      </w:r>
      <w:r w:rsidR="0001527E">
        <w:rPr>
          <w:rFonts w:ascii="Times New Roman" w:hAnsi="Times New Roman"/>
          <w:color w:val="000000"/>
          <w:sz w:val="24"/>
          <w:szCs w:val="24"/>
        </w:rPr>
        <w:t>ferycznych zgodnie z punktem 5.5</w:t>
      </w:r>
      <w:r w:rsidRPr="00B82DE0">
        <w:rPr>
          <w:rFonts w:ascii="Times New Roman" w:hAnsi="Times New Roman"/>
          <w:color w:val="000000"/>
          <w:sz w:val="24"/>
          <w:szCs w:val="24"/>
        </w:rPr>
        <w:t xml:space="preserve">. Mieszanka mineralno-asfaltowa powinna być wbudowywana rozkładarką wyposażoną w układ automatycznego sterowania grubości warstwy i utrzymywania niwelety zgodnie z dokumentacją projektową.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Mieszanki mineralno-asfaltowe można rozkładać maszyną drogową z podwójnym zestawem rozkładającym do rozkładania dwóch warstw technologicznych w jednej  operacji.  W miejscach niedostępnych dla sprzętu dopuszcza się wbudowywanie ręczne. Grubość wykonywanej warstwy powinna być sprawdzana, co 25 m, w co najmniej trzech miejscach (w osi i przy brzegach warstwy).</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Mieszankę mineralno-asfaltową należy, bezzwłocznie po dowiezieniu do miejsca wbudowania, w ciągły sposób podawać do układarki i układać. Wielkości dostaw mieszanki do układarki powinny być tak regulowane, aby umożliwić nieprzerwaną pracę układarki. Układarka powinna pracować w sposób ciągły zawsze, gdy jest to możliwe. Należy stosować takie prędkości poruszania się układarki i technikę jej pracy, które zapewniają jednorodne podawanie mieszanki mineralno-asfaltowej na całej szerokości układania, bez ciągnienia, rozrywania i segregacji materiału.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Minimalna grubość mieszanki układanej w każdym przejściu układarki powinna być zgodna z minimalnymi wielkościami podanymi w p. 1.3 niniejszej SST.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Ręczne układanie mieszanek mineralno-asfaltowych dopuszcza się jedynie w następujących przypadkach: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-układanie warstw wiążących o nieregularnym kształcie i zmiennej grubości,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-w miejscach, gdzie praca układarki jest niemożliwa,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lastRenderedPageBreak/>
        <w:t xml:space="preserve">-w miejscach wskazanych przez Inspektora Nadzoru.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Ręczne profilowanie grabiami mieszanki mineralno-asfaltowej lub ręczne dodawanie i rozścielanie mieszanki na ułożonej nawierzchni dopuszcza się jedynie w następujących przypadkach: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-na brzegach warstw bitumicznych oraz przy wpustach (ściekach) i włazach,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-w pobliżu szczelin dylatacyjnych na mostach, wiaduktach i innych obiektach,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-w miejscach wskazanych przez Inspektora Nadzoru.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Ręcznie ułożone warstwy powinny spełniać wymagania określone w niniejszym punkcie, z wyjątkiem wymagań odnoszących się do układarek.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 wypadku stosowania do mieszanek mineralno-asfaltowych do warstw podbudowy i wiążącej granulatu asfaltowego dopuszcza się zmianę typu mieszanki, z której uzyskano granulat asfaltowy.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Wśród połączeń technologicznych wyróżnia się: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  złącza podłużne i poprzeczne (połączenia tego samego materiału wykonywanego w różnym czasie), </w:t>
      </w:r>
    </w:p>
    <w:p w:rsidR="00C318BA" w:rsidRPr="00B82DE0" w:rsidRDefault="00C318BA" w:rsidP="0001527E">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-spoiny (połączenia różnych materiałów, np. asfaltu lanego i betonu asfaltowego oraz warstwy asfaltowej z urządzeniami obcymi w nawierzchni lub ją ograniczającymi).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Połączenia technologiczne powinny być jednorodne i szczelne.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Złącza podłużnego nie można umiejscawiać w śladach kół. Należy unikać umiejscawiania złączy w obszarze poziomego oznakowania jezdni.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Złącza podłużne między pasami kolejnych warstw technologicznych należy przesunąć względem siebie, o co najmniej 15 cm w kierunku poprzecznym do osi jezdni.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Złącza poprzeczne między działkami roboczymi układanych pasów kolejnych warstw technologicznych należy przesunąć względem siebie, o co najmniej 2 m w kierunku podłużnym do osi jezdni. </w:t>
      </w:r>
    </w:p>
    <w:p w:rsidR="00C318BA" w:rsidRPr="00B82DE0" w:rsidRDefault="0001527E"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5.6</w:t>
      </w:r>
      <w:r w:rsidR="00C318BA" w:rsidRPr="00B82DE0">
        <w:rPr>
          <w:rFonts w:ascii="Times New Roman" w:hAnsi="Times New Roman"/>
          <w:b/>
          <w:bCs/>
          <w:i/>
          <w:iCs/>
          <w:color w:val="000000"/>
          <w:sz w:val="24"/>
          <w:szCs w:val="24"/>
        </w:rPr>
        <w:t xml:space="preserve">.1.1. Technologia rozkładania „gorące przy gorącym"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Do metody tej są używane rozkładarki pracujące obok siebie. Wydajności wstępnego zagęszczania stołami rozkładarek muszą być do siebie dopasowane. Przyjęta technologia robót ma zapewnić prawidłowe i szczelne połączenie układanych pasów warstwy technologicznej. Zazwyczaj warunek ten zapewnia się przez zminimalizowanie odległości między rozkładarkami tak, aby odległość między układanymi pasami nie była większa niż długość rozkładarki oraz druga w kolejności rozkładarką nadkładała mieszankę na pierwszy pas. </w:t>
      </w:r>
    </w:p>
    <w:p w:rsidR="00C318BA" w:rsidRPr="00B82DE0" w:rsidRDefault="0001527E"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5.6</w:t>
      </w:r>
      <w:r w:rsidR="00C318BA" w:rsidRPr="00B82DE0">
        <w:rPr>
          <w:rFonts w:ascii="Times New Roman" w:hAnsi="Times New Roman"/>
          <w:b/>
          <w:bCs/>
          <w:i/>
          <w:iCs/>
          <w:color w:val="000000"/>
          <w:sz w:val="24"/>
          <w:szCs w:val="24"/>
        </w:rPr>
        <w:t xml:space="preserve">.1.2. Technologia rozkładania „gorące przy zimnym"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Wcześniej wykonany pas warstw technologicznej powinien mieć wyprofilowaną krawędź, równomiernie zagęszczoną, bez pęknięć. Krawędź ta nie może być pionowa, lecz powinna być skośna.  </w:t>
      </w:r>
    </w:p>
    <w:p w:rsidR="00C318BA" w:rsidRPr="00B82DE0" w:rsidRDefault="0001527E"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5.6</w:t>
      </w:r>
      <w:r w:rsidR="00C318BA" w:rsidRPr="00B82DE0">
        <w:rPr>
          <w:rFonts w:ascii="Times New Roman" w:hAnsi="Times New Roman"/>
          <w:b/>
          <w:bCs/>
          <w:i/>
          <w:iCs/>
          <w:color w:val="000000"/>
          <w:sz w:val="24"/>
          <w:szCs w:val="24"/>
        </w:rPr>
        <w:t xml:space="preserve">.1.3. Zakończenie działki roboczej </w:t>
      </w:r>
    </w:p>
    <w:p w:rsidR="00C318BA" w:rsidRPr="00B82DE0" w:rsidRDefault="00C318BA" w:rsidP="0001527E">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Zakończenie działki roboczej dotyczy wystąpienia przerw w układaniu pasa warstwy technologicznej na czas, po którym temperatura mieszanki mineralno-asfaltowej obniży się poza dopuszczalną granicę. W takim wypadku wykonywanie warstwy technologicznej z mieszanek wałowanych (nie dotyczy asfaltu lanego) należy poprzedzić usunięciem ułożonego wcześniej pasa o długości do 3 m. Należy usunąć fragment pasa na całej jego grubości. </w:t>
      </w:r>
    </w:p>
    <w:p w:rsidR="00C318BA" w:rsidRPr="00B82DE0" w:rsidRDefault="0001527E" w:rsidP="00C318BA">
      <w:pPr>
        <w:widowControl w:val="0"/>
        <w:autoSpaceDE w:val="0"/>
        <w:autoSpaceDN w:val="0"/>
        <w:adjustRightInd w:val="0"/>
        <w:spacing w:before="14" w:after="0" w:line="240" w:lineRule="auto"/>
        <w:jc w:val="both"/>
        <w:rPr>
          <w:rFonts w:ascii="Arial" w:hAnsi="Arial" w:cs="Arial"/>
          <w:sz w:val="24"/>
          <w:szCs w:val="24"/>
        </w:rPr>
      </w:pPr>
      <w:r>
        <w:rPr>
          <w:rFonts w:ascii="Times New Roman" w:hAnsi="Times New Roman"/>
          <w:b/>
          <w:bCs/>
          <w:i/>
          <w:iCs/>
          <w:color w:val="000000"/>
          <w:sz w:val="24"/>
          <w:szCs w:val="24"/>
        </w:rPr>
        <w:t>5.6</w:t>
      </w:r>
      <w:r w:rsidR="00C318BA" w:rsidRPr="00B82DE0">
        <w:rPr>
          <w:rFonts w:ascii="Times New Roman" w:hAnsi="Times New Roman"/>
          <w:b/>
          <w:bCs/>
          <w:i/>
          <w:iCs/>
          <w:color w:val="000000"/>
          <w:sz w:val="24"/>
          <w:szCs w:val="24"/>
        </w:rPr>
        <w:t xml:space="preserve">.2. Zagęszczanie </w:t>
      </w:r>
    </w:p>
    <w:p w:rsidR="00C318BA" w:rsidRPr="00B82DE0" w:rsidRDefault="00C318BA" w:rsidP="00C318BA">
      <w:pPr>
        <w:widowControl w:val="0"/>
        <w:autoSpaceDE w:val="0"/>
        <w:autoSpaceDN w:val="0"/>
        <w:adjustRightInd w:val="0"/>
        <w:spacing w:before="50" w:after="0" w:line="240" w:lineRule="auto"/>
        <w:jc w:val="both"/>
        <w:rPr>
          <w:rFonts w:ascii="Arial" w:hAnsi="Arial" w:cs="Arial"/>
          <w:sz w:val="24"/>
          <w:szCs w:val="24"/>
        </w:rPr>
      </w:pPr>
      <w:r w:rsidRPr="00B82DE0">
        <w:rPr>
          <w:rFonts w:ascii="Times New Roman" w:hAnsi="Times New Roman"/>
          <w:color w:val="000000"/>
          <w:sz w:val="24"/>
          <w:szCs w:val="24"/>
        </w:rPr>
        <w:lastRenderedPageBreak/>
        <w:t xml:space="preserve">Mieszankę mineralno-asfaltową należy układać i zagęszczać warstwami umożliwiającymi uzyskanie wymaganej grubości, rzędnej powierzchni oraz spełnienie wymagań w zakresie równości i zagęszczenia. Zagęszczanie mieszanki mineralno-asfaltowej należy rozpocząć niezwłocznie, gdy nie zagęszczony materiał będzie mógł być zagęszczany walcami bez powodowania przemieszczeń warstwy lub spękań powierzchniowych. </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Zagęszczanie należy zakończyć zanim temperatura spadnie poniżej minimalnej temperatury wałowania. Wałowanie należy kontynuować do czasu zniknięcia z powierzchni warstwy wszystkich śladów po walcach. Nie dopuszcza się powierzchniowego łatania zawałowanej warstwy. </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Zagęszczanie należy prowadzić statycznymi walcami stalowymi gładkimi, wibracyjnymi lub też zespołem tych walców, o ciężarze 80 - 100 </w:t>
      </w:r>
      <w:proofErr w:type="spellStart"/>
      <w:r w:rsidRPr="00B82DE0">
        <w:rPr>
          <w:rFonts w:ascii="Times New Roman" w:hAnsi="Times New Roman"/>
          <w:color w:val="000000"/>
          <w:sz w:val="24"/>
          <w:szCs w:val="24"/>
        </w:rPr>
        <w:t>kN</w:t>
      </w:r>
      <w:proofErr w:type="spellEnd"/>
      <w:r w:rsidRPr="00B82DE0">
        <w:rPr>
          <w:rFonts w:ascii="Times New Roman" w:hAnsi="Times New Roman"/>
          <w:color w:val="000000"/>
          <w:sz w:val="24"/>
          <w:szCs w:val="24"/>
        </w:rPr>
        <w:t xml:space="preserve"> i szerokości wału nie mniejszej niż 1450 mm. Dla zagęszczania mieszanki na bazie asfaltu bez modyfikacji, dopuszcza się również zagęszczanie walcami ogumionymi. Powierzchnię warstwy wiążącej należy wykończyć walcem gładkim, statycznym lub wibracyjnym z wyłączoną wibracją. Na pomostach obiektów mostowych nie należy stosować walców wibracyjnych z włączoną wibracją. Dopuszcza się stosowanie walców wibracyjnych lub innych walców zaproponowanych przez Wykonawcę, jeżeli mogą one zapewnić taki sam standard zagęszczenia jak walce statyczne o ciężarze 80 </w:t>
      </w:r>
      <w:proofErr w:type="spellStart"/>
      <w:r w:rsidRPr="00B82DE0">
        <w:rPr>
          <w:rFonts w:ascii="Times New Roman" w:hAnsi="Times New Roman"/>
          <w:color w:val="000000"/>
          <w:sz w:val="24"/>
          <w:szCs w:val="24"/>
        </w:rPr>
        <w:t>kN</w:t>
      </w:r>
      <w:proofErr w:type="spellEnd"/>
      <w:r w:rsidRPr="00B82DE0">
        <w:rPr>
          <w:rFonts w:ascii="Times New Roman" w:hAnsi="Times New Roman"/>
          <w:color w:val="000000"/>
          <w:sz w:val="24"/>
          <w:szCs w:val="24"/>
        </w:rPr>
        <w:t xml:space="preserve">. Walce wibracyjne powinny być wyposażone w przyrządy umożliwiające odczytanie z odległości częstotliwości wibracji maszyny oraz prędkości jazdy. </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Mieszanki mineralno-asfaltowe należy zagęszczać w kierunku równoległym do osi drogi, a koła napędzane powinny znajdować się bliżej układarki. Wałowanie należy rozpocząć od spoin i prowadzić od niżej położonej do wyżej położonej krawędzi. Ślady kolejnych przejść walca powinny zachodzić na siebie na szerokość co najmniej połowy szerokości tylnego koła. </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Walce powinny pracować z prędkością nie większą niż 5 km/godz. Nie dopuszcza się postoju walca na nie zag</w:t>
      </w:r>
      <w:r>
        <w:rPr>
          <w:rFonts w:ascii="Times New Roman" w:hAnsi="Times New Roman"/>
          <w:color w:val="000000"/>
          <w:sz w:val="24"/>
          <w:szCs w:val="24"/>
        </w:rPr>
        <w:t>ęszczonej w pełni nawierzchni.</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Należy również zastosować środki zapobiegające zanieczyszczeniu nawierzchni olejem napędowym, smarami, benzyną i innymi substancjami obcymi w czasie pracy lub postoju walców. Aby zapobiec przyleganiu mieszanki do kół walców, można je zwilżać wodą. Należy stosować tylko takie ilości wody, które są wymagane w celu zapobiegania przyleganiu mieszanki do kół, przy czym zaleca się stosowanie rozpylania wody (mgiełki wodnej). Na częściowo wykończonej nawierzchni nie mogą tworzyć się kałuże wody.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p>
    <w:p w:rsidR="00C318BA" w:rsidRPr="00B82DE0" w:rsidRDefault="00C318BA" w:rsidP="00C318BA">
      <w:pPr>
        <w:widowControl w:val="0"/>
        <w:autoSpaceDE w:val="0"/>
        <w:autoSpaceDN w:val="0"/>
        <w:adjustRightInd w:val="0"/>
        <w:spacing w:before="14" w:after="0" w:line="240" w:lineRule="auto"/>
        <w:jc w:val="both"/>
        <w:rPr>
          <w:rFonts w:ascii="Arial" w:hAnsi="Arial" w:cs="Arial"/>
          <w:sz w:val="24"/>
          <w:szCs w:val="24"/>
        </w:rPr>
      </w:pPr>
      <w:r>
        <w:rPr>
          <w:rFonts w:ascii="Times New Roman" w:hAnsi="Times New Roman"/>
          <w:b/>
          <w:bCs/>
          <w:i/>
          <w:iCs/>
          <w:color w:val="000000"/>
          <w:sz w:val="24"/>
          <w:szCs w:val="24"/>
        </w:rPr>
        <w:t>5.</w:t>
      </w:r>
      <w:r w:rsidR="0001527E">
        <w:rPr>
          <w:rFonts w:ascii="Times New Roman" w:hAnsi="Times New Roman"/>
          <w:b/>
          <w:bCs/>
          <w:i/>
          <w:iCs/>
          <w:color w:val="000000"/>
          <w:sz w:val="24"/>
          <w:szCs w:val="24"/>
        </w:rPr>
        <w:t>6</w:t>
      </w:r>
      <w:r w:rsidRPr="00B82DE0">
        <w:rPr>
          <w:rFonts w:ascii="Times New Roman" w:hAnsi="Times New Roman"/>
          <w:b/>
          <w:bCs/>
          <w:i/>
          <w:iCs/>
          <w:color w:val="000000"/>
          <w:sz w:val="24"/>
          <w:szCs w:val="24"/>
        </w:rPr>
        <w:t xml:space="preserve">.3. Złącza </w:t>
      </w:r>
    </w:p>
    <w:p w:rsidR="00C318BA" w:rsidRPr="00B82DE0" w:rsidRDefault="00C318BA" w:rsidP="00C318BA">
      <w:pPr>
        <w:widowControl w:val="0"/>
        <w:autoSpaceDE w:val="0"/>
        <w:autoSpaceDN w:val="0"/>
        <w:adjustRightInd w:val="0"/>
        <w:spacing w:before="50" w:after="0" w:line="240" w:lineRule="auto"/>
        <w:jc w:val="both"/>
        <w:rPr>
          <w:rFonts w:ascii="Arial" w:hAnsi="Arial" w:cs="Arial"/>
          <w:sz w:val="24"/>
          <w:szCs w:val="24"/>
        </w:rPr>
      </w:pPr>
      <w:r w:rsidRPr="00B82DE0">
        <w:rPr>
          <w:rFonts w:ascii="Times New Roman" w:hAnsi="Times New Roman"/>
          <w:color w:val="000000"/>
          <w:sz w:val="24"/>
          <w:szCs w:val="24"/>
        </w:rPr>
        <w:t xml:space="preserve">W przypadku występowania w nawierzchni bitumicznej złączy podłużnych i poprzecznych, mieszanka powinna być w pełni zagęszczona, a brzegi złączy powinny być ze sobą zrównane, co można uzyskać stosując jedną z wymienionych poniżej metod, przy czym dla złączy poprzecznych należy stosować jedynie metodę opisaną w punkcie 2: </w:t>
      </w:r>
    </w:p>
    <w:p w:rsidR="00C318BA" w:rsidRPr="00B82DE0" w:rsidRDefault="00C318BA" w:rsidP="00C318BA">
      <w:pPr>
        <w:widowControl w:val="0"/>
        <w:autoSpaceDE w:val="0"/>
        <w:autoSpaceDN w:val="0"/>
        <w:adjustRightInd w:val="0"/>
        <w:spacing w:before="36" w:after="0" w:line="240" w:lineRule="auto"/>
        <w:ind w:left="360"/>
        <w:jc w:val="both"/>
        <w:rPr>
          <w:rFonts w:ascii="Arial" w:hAnsi="Arial" w:cs="Arial"/>
          <w:sz w:val="24"/>
          <w:szCs w:val="24"/>
        </w:rPr>
      </w:pPr>
      <w:r w:rsidRPr="00B82DE0">
        <w:rPr>
          <w:rFonts w:ascii="Times New Roman" w:hAnsi="Times New Roman"/>
          <w:color w:val="000000"/>
          <w:sz w:val="24"/>
          <w:szCs w:val="24"/>
        </w:rPr>
        <w:t>1</w:t>
      </w:r>
      <w:r w:rsidR="0001527E">
        <w:rPr>
          <w:rFonts w:ascii="Times New Roman" w:hAnsi="Times New Roman"/>
          <w:color w:val="000000"/>
          <w:sz w:val="24"/>
          <w:szCs w:val="24"/>
        </w:rPr>
        <w:t xml:space="preserve"> - </w:t>
      </w:r>
      <w:r w:rsidRPr="00B82DE0">
        <w:rPr>
          <w:rFonts w:ascii="Times New Roman" w:hAnsi="Times New Roman"/>
          <w:color w:val="000000"/>
          <w:sz w:val="24"/>
          <w:szCs w:val="24"/>
        </w:rPr>
        <w:t xml:space="preserve">przez zastosowanie dwóch lub więcej układarek pracujących w zespole w takiej odległości, aby możliwe było całkowite zagęszczenie sąsiednich pasów roboczych przez ciągłe (nieprzerwane) wałowanie; </w:t>
      </w:r>
    </w:p>
    <w:p w:rsidR="00C318BA" w:rsidRPr="00B82DE0" w:rsidRDefault="00C318BA" w:rsidP="00C318BA">
      <w:pPr>
        <w:widowControl w:val="0"/>
        <w:autoSpaceDE w:val="0"/>
        <w:autoSpaceDN w:val="0"/>
        <w:adjustRightInd w:val="0"/>
        <w:spacing w:before="36" w:after="0" w:line="240" w:lineRule="auto"/>
        <w:ind w:left="360"/>
        <w:jc w:val="both"/>
        <w:rPr>
          <w:rFonts w:ascii="Arial" w:hAnsi="Arial" w:cs="Arial"/>
          <w:sz w:val="24"/>
          <w:szCs w:val="24"/>
        </w:rPr>
      </w:pPr>
      <w:r w:rsidRPr="00B82DE0">
        <w:rPr>
          <w:rFonts w:ascii="Times New Roman" w:hAnsi="Times New Roman"/>
          <w:color w:val="000000"/>
          <w:sz w:val="24"/>
          <w:szCs w:val="24"/>
        </w:rPr>
        <w:t>2</w:t>
      </w:r>
      <w:r w:rsidR="0001527E">
        <w:rPr>
          <w:rFonts w:ascii="Times New Roman" w:hAnsi="Times New Roman"/>
          <w:color w:val="000000"/>
          <w:sz w:val="24"/>
          <w:szCs w:val="24"/>
        </w:rPr>
        <w:t xml:space="preserve"> - </w:t>
      </w:r>
      <w:r w:rsidRPr="00B82DE0">
        <w:rPr>
          <w:rFonts w:ascii="Times New Roman" w:hAnsi="Times New Roman"/>
          <w:color w:val="000000"/>
          <w:sz w:val="24"/>
          <w:szCs w:val="24"/>
        </w:rPr>
        <w:t>przez obcinanie krawędzi wcześniej wykonanej warstwy na głębokość równą wymaganej grubości warstwy, do uzyskania skośnej krawędzi i usunięcie całego luźnego materiału. Następnie, przed ułożeniem sąsiedniego pasa roboczego, na krawędzie należy nanieść lepiszcze lub inny mate</w:t>
      </w:r>
      <w:r>
        <w:rPr>
          <w:rFonts w:ascii="Times New Roman" w:hAnsi="Times New Roman"/>
          <w:color w:val="000000"/>
          <w:sz w:val="24"/>
          <w:szCs w:val="24"/>
        </w:rPr>
        <w:t>riał do złączy według punktu 5.7</w:t>
      </w:r>
      <w:r w:rsidRPr="00B82DE0">
        <w:rPr>
          <w:rFonts w:ascii="Times New Roman" w:hAnsi="Times New Roman"/>
          <w:color w:val="000000"/>
          <w:sz w:val="24"/>
          <w:szCs w:val="24"/>
        </w:rPr>
        <w:t xml:space="preserve">.1. Jeżeli sąsiedni pas roboczy nie będzie układany w tym samym czasie, odsłoniętą krawędź należy zabezpieczyć przed uszkodzeniem listwą drewnianą. Niedopuszczalne jest uszczelnianie połączenia wyłącznie przez zalanie go z góry asfaltem, po zagęszczeniu warstwy. Wszystkie złącza powinny być przesunięte o co najmniej: </w:t>
      </w:r>
    </w:p>
    <w:p w:rsidR="00C318BA" w:rsidRPr="00B82DE0" w:rsidRDefault="00C318BA" w:rsidP="00C318BA">
      <w:pPr>
        <w:widowControl w:val="0"/>
        <w:autoSpaceDE w:val="0"/>
        <w:autoSpaceDN w:val="0"/>
        <w:adjustRightInd w:val="0"/>
        <w:spacing w:before="55" w:after="0" w:line="240" w:lineRule="auto"/>
        <w:ind w:left="454"/>
        <w:jc w:val="both"/>
        <w:rPr>
          <w:rFonts w:ascii="Arial" w:hAnsi="Arial" w:cs="Arial"/>
          <w:sz w:val="24"/>
          <w:szCs w:val="24"/>
        </w:rPr>
      </w:pPr>
      <w:r w:rsidRPr="00B82DE0">
        <w:rPr>
          <w:rFonts w:ascii="Times New Roman" w:hAnsi="Times New Roman"/>
          <w:color w:val="000000"/>
          <w:sz w:val="24"/>
          <w:szCs w:val="24"/>
        </w:rPr>
        <w:t xml:space="preserve">-20 cm względem złączy podłużnych do nich równoległych, </w:t>
      </w:r>
    </w:p>
    <w:p w:rsidR="00C318BA" w:rsidRPr="00B82DE0" w:rsidRDefault="00C318BA" w:rsidP="00C318BA">
      <w:pPr>
        <w:widowControl w:val="0"/>
        <w:autoSpaceDE w:val="0"/>
        <w:autoSpaceDN w:val="0"/>
        <w:adjustRightInd w:val="0"/>
        <w:spacing w:before="55" w:after="0" w:line="240" w:lineRule="auto"/>
        <w:ind w:left="454"/>
        <w:jc w:val="both"/>
        <w:rPr>
          <w:rFonts w:ascii="Arial" w:hAnsi="Arial" w:cs="Arial"/>
          <w:sz w:val="24"/>
          <w:szCs w:val="24"/>
        </w:rPr>
      </w:pPr>
      <w:r w:rsidRPr="00B82DE0">
        <w:rPr>
          <w:rFonts w:ascii="Times New Roman" w:hAnsi="Times New Roman"/>
          <w:color w:val="000000"/>
          <w:sz w:val="24"/>
          <w:szCs w:val="24"/>
        </w:rPr>
        <w:t xml:space="preserve">-200 cm względem złączy poprzecznych do nich równoległych, </w:t>
      </w:r>
    </w:p>
    <w:p w:rsidR="00C318BA" w:rsidRPr="00B82DE0" w:rsidRDefault="0001527E" w:rsidP="00C318BA">
      <w:pPr>
        <w:widowControl w:val="0"/>
        <w:autoSpaceDE w:val="0"/>
        <w:autoSpaceDN w:val="0"/>
        <w:adjustRightInd w:val="0"/>
        <w:spacing w:before="10" w:after="0" w:line="240" w:lineRule="auto"/>
        <w:jc w:val="both"/>
        <w:rPr>
          <w:rFonts w:ascii="Arial" w:hAnsi="Arial" w:cs="Arial"/>
          <w:sz w:val="24"/>
          <w:szCs w:val="24"/>
        </w:rPr>
      </w:pPr>
      <w:r>
        <w:rPr>
          <w:rFonts w:ascii="Times New Roman" w:hAnsi="Times New Roman"/>
          <w:b/>
          <w:bCs/>
          <w:i/>
          <w:iCs/>
          <w:color w:val="000000"/>
          <w:sz w:val="24"/>
          <w:szCs w:val="24"/>
        </w:rPr>
        <w:t>5.6</w:t>
      </w:r>
      <w:r w:rsidR="00C318BA" w:rsidRPr="00B82DE0">
        <w:rPr>
          <w:rFonts w:ascii="Times New Roman" w:hAnsi="Times New Roman"/>
          <w:b/>
          <w:bCs/>
          <w:i/>
          <w:iCs/>
          <w:color w:val="000000"/>
          <w:sz w:val="24"/>
          <w:szCs w:val="24"/>
        </w:rPr>
        <w:t xml:space="preserve">.4. Utrzymanie wykonanych warstw </w:t>
      </w:r>
    </w:p>
    <w:p w:rsidR="00C318BA" w:rsidRPr="00B82DE0" w:rsidRDefault="00C318BA" w:rsidP="00C318BA">
      <w:pPr>
        <w:widowControl w:val="0"/>
        <w:autoSpaceDE w:val="0"/>
        <w:autoSpaceDN w:val="0"/>
        <w:adjustRightInd w:val="0"/>
        <w:spacing w:before="50" w:after="0" w:line="240" w:lineRule="auto"/>
        <w:jc w:val="both"/>
        <w:rPr>
          <w:rFonts w:ascii="Arial" w:hAnsi="Arial" w:cs="Arial"/>
          <w:sz w:val="24"/>
          <w:szCs w:val="24"/>
        </w:rPr>
      </w:pPr>
      <w:r w:rsidRPr="00B82DE0">
        <w:rPr>
          <w:rFonts w:ascii="Times New Roman" w:hAnsi="Times New Roman"/>
          <w:color w:val="000000"/>
          <w:sz w:val="24"/>
          <w:szCs w:val="24"/>
        </w:rPr>
        <w:lastRenderedPageBreak/>
        <w:t xml:space="preserve">Warstwy z mieszanek mineralno-asfaltowych należy utrzymywać w czystości. Po warstwie bitumicznej, na której przewiduje się ułożenie następnej warstwy, dopuszcza się jedynie ruch pojazdów i maszyn pracujących przy układaniu i zagęszczaniu następnej warstwy. </w:t>
      </w:r>
    </w:p>
    <w:p w:rsidR="00C318BA" w:rsidRPr="004E2DDA"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W przypadku jakiegokolwiek zanieczyszczenia warstwy bitumicznej, Wykonawca powinien podjąć s</w:t>
      </w:r>
      <w:r w:rsidR="0001527E">
        <w:rPr>
          <w:rFonts w:ascii="Times New Roman" w:hAnsi="Times New Roman"/>
          <w:color w:val="000000"/>
          <w:sz w:val="24"/>
          <w:szCs w:val="24"/>
        </w:rPr>
        <w:t>tarania w celu jej oczyszczenia.</w:t>
      </w:r>
    </w:p>
    <w:p w:rsidR="00C318BA" w:rsidRPr="004E2DDA" w:rsidRDefault="00C318BA" w:rsidP="00C318BA">
      <w:pPr>
        <w:widowControl w:val="0"/>
        <w:autoSpaceDE w:val="0"/>
        <w:autoSpaceDN w:val="0"/>
        <w:adjustRightInd w:val="0"/>
        <w:spacing w:after="0" w:line="240" w:lineRule="auto"/>
        <w:jc w:val="both"/>
        <w:rPr>
          <w:rFonts w:ascii="Arial" w:hAnsi="Arial" w:cs="Arial"/>
          <w:sz w:val="24"/>
          <w:szCs w:val="24"/>
        </w:rPr>
      </w:pPr>
    </w:p>
    <w:p w:rsidR="00C318BA" w:rsidRPr="004E2DDA" w:rsidRDefault="00C318BA" w:rsidP="00C318BA">
      <w:pPr>
        <w:widowControl w:val="0"/>
        <w:autoSpaceDE w:val="0"/>
        <w:autoSpaceDN w:val="0"/>
        <w:adjustRightInd w:val="0"/>
        <w:spacing w:before="14" w:after="0" w:line="240" w:lineRule="auto"/>
        <w:jc w:val="both"/>
        <w:rPr>
          <w:rFonts w:ascii="Arial" w:hAnsi="Arial" w:cs="Arial"/>
          <w:sz w:val="24"/>
          <w:szCs w:val="24"/>
        </w:rPr>
      </w:pPr>
      <w:r w:rsidRPr="004E2DDA">
        <w:rPr>
          <w:rFonts w:ascii="Times New Roman" w:hAnsi="Times New Roman"/>
          <w:b/>
          <w:bCs/>
          <w:color w:val="000000"/>
          <w:sz w:val="24"/>
          <w:szCs w:val="24"/>
        </w:rPr>
        <w:t xml:space="preserve">6.  KONTROLA JAKOŚCI ROBÓT </w:t>
      </w:r>
    </w:p>
    <w:p w:rsidR="00C318BA" w:rsidRPr="004E2DDA" w:rsidRDefault="00C318BA" w:rsidP="00C318BA">
      <w:pPr>
        <w:widowControl w:val="0"/>
        <w:autoSpaceDE w:val="0"/>
        <w:autoSpaceDN w:val="0"/>
        <w:adjustRightInd w:val="0"/>
        <w:spacing w:before="14" w:after="0" w:line="240" w:lineRule="auto"/>
        <w:jc w:val="both"/>
        <w:rPr>
          <w:rFonts w:ascii="Arial" w:hAnsi="Arial" w:cs="Arial"/>
          <w:sz w:val="24"/>
          <w:szCs w:val="24"/>
        </w:rPr>
      </w:pPr>
      <w:r w:rsidRPr="004E2DDA">
        <w:rPr>
          <w:rFonts w:ascii="Times New Roman" w:hAnsi="Times New Roman"/>
          <w:b/>
          <w:bCs/>
          <w:color w:val="000000"/>
          <w:sz w:val="24"/>
          <w:szCs w:val="24"/>
        </w:rPr>
        <w:t xml:space="preserve">6.1.  Ogólne zasady kontroli jakości robót </w:t>
      </w:r>
    </w:p>
    <w:p w:rsidR="00C318BA" w:rsidRPr="004E2DDA" w:rsidRDefault="00C318BA" w:rsidP="00C318BA">
      <w:pPr>
        <w:widowControl w:val="0"/>
        <w:autoSpaceDE w:val="0"/>
        <w:autoSpaceDN w:val="0"/>
        <w:adjustRightInd w:val="0"/>
        <w:spacing w:before="50" w:after="0" w:line="240" w:lineRule="auto"/>
        <w:rPr>
          <w:rFonts w:ascii="Arial" w:hAnsi="Arial" w:cs="Arial"/>
          <w:sz w:val="24"/>
          <w:szCs w:val="24"/>
        </w:rPr>
      </w:pPr>
      <w:r w:rsidRPr="004E2DDA">
        <w:rPr>
          <w:rFonts w:ascii="Times New Roman" w:hAnsi="Times New Roman"/>
          <w:color w:val="000000"/>
          <w:sz w:val="24"/>
          <w:szCs w:val="24"/>
        </w:rPr>
        <w:t xml:space="preserve">Ogólne zasady kontroli jakości robót podano w SST D.M.00.00.00 „Wymagania ogólne”. </w:t>
      </w:r>
    </w:p>
    <w:p w:rsidR="00C318BA" w:rsidRPr="004E2DDA" w:rsidRDefault="00C318BA" w:rsidP="00C318BA">
      <w:pPr>
        <w:widowControl w:val="0"/>
        <w:autoSpaceDE w:val="0"/>
        <w:autoSpaceDN w:val="0"/>
        <w:adjustRightInd w:val="0"/>
        <w:spacing w:after="0" w:line="240" w:lineRule="auto"/>
        <w:rPr>
          <w:rFonts w:ascii="Arial" w:hAnsi="Arial" w:cs="Arial"/>
          <w:sz w:val="24"/>
          <w:szCs w:val="24"/>
        </w:rPr>
      </w:pPr>
    </w:p>
    <w:p w:rsidR="00C318BA" w:rsidRPr="004E2DDA" w:rsidRDefault="00C318BA" w:rsidP="00C318BA">
      <w:pPr>
        <w:widowControl w:val="0"/>
        <w:autoSpaceDE w:val="0"/>
        <w:autoSpaceDN w:val="0"/>
        <w:adjustRightInd w:val="0"/>
        <w:spacing w:before="10" w:after="0" w:line="240" w:lineRule="auto"/>
        <w:rPr>
          <w:rFonts w:ascii="Arial" w:hAnsi="Arial" w:cs="Arial"/>
          <w:sz w:val="24"/>
          <w:szCs w:val="24"/>
        </w:rPr>
      </w:pPr>
      <w:r w:rsidRPr="004E2DDA">
        <w:rPr>
          <w:rFonts w:ascii="Times New Roman" w:hAnsi="Times New Roman"/>
          <w:b/>
          <w:bCs/>
          <w:color w:val="000000"/>
          <w:sz w:val="24"/>
          <w:szCs w:val="24"/>
        </w:rPr>
        <w:t xml:space="preserve">6.2.  Właściwości warstw i nawierzchni </w:t>
      </w:r>
    </w:p>
    <w:p w:rsidR="00C318BA" w:rsidRPr="004E2DDA" w:rsidRDefault="00C318BA" w:rsidP="00C318BA">
      <w:pPr>
        <w:widowControl w:val="0"/>
        <w:autoSpaceDE w:val="0"/>
        <w:autoSpaceDN w:val="0"/>
        <w:adjustRightInd w:val="0"/>
        <w:spacing w:before="53" w:after="0" w:line="240" w:lineRule="auto"/>
        <w:rPr>
          <w:rFonts w:ascii="Arial" w:hAnsi="Arial" w:cs="Arial"/>
          <w:sz w:val="24"/>
          <w:szCs w:val="24"/>
        </w:rPr>
      </w:pPr>
      <w:r w:rsidRPr="004E2DDA">
        <w:rPr>
          <w:rFonts w:ascii="Times New Roman" w:hAnsi="Times New Roman"/>
          <w:b/>
          <w:bCs/>
          <w:i/>
          <w:iCs/>
          <w:color w:val="000000"/>
          <w:sz w:val="24"/>
          <w:szCs w:val="24"/>
        </w:rPr>
        <w:t xml:space="preserve">6.2.1. Grubość warstwy i zagęszczenie </w:t>
      </w:r>
    </w:p>
    <w:p w:rsidR="00C318BA" w:rsidRPr="004E2DDA" w:rsidRDefault="00C318BA" w:rsidP="00C318BA">
      <w:pPr>
        <w:widowControl w:val="0"/>
        <w:autoSpaceDE w:val="0"/>
        <w:autoSpaceDN w:val="0"/>
        <w:adjustRightInd w:val="0"/>
        <w:spacing w:before="50" w:after="0" w:line="240" w:lineRule="auto"/>
        <w:rPr>
          <w:rFonts w:ascii="Arial" w:hAnsi="Arial" w:cs="Arial"/>
          <w:sz w:val="24"/>
          <w:szCs w:val="24"/>
        </w:rPr>
      </w:pPr>
      <w:r w:rsidRPr="004E2DDA">
        <w:rPr>
          <w:rFonts w:ascii="Times New Roman" w:hAnsi="Times New Roman"/>
          <w:color w:val="000000"/>
          <w:sz w:val="24"/>
          <w:szCs w:val="24"/>
        </w:rPr>
        <w:t xml:space="preserve">Właściwości wykonanej warstwy powinny spełniać warunki podane w tablicy 18. </w:t>
      </w:r>
    </w:p>
    <w:p w:rsidR="002B3AB4" w:rsidRDefault="002B3AB4" w:rsidP="00C318BA">
      <w:pPr>
        <w:widowControl w:val="0"/>
        <w:autoSpaceDE w:val="0"/>
        <w:autoSpaceDN w:val="0"/>
        <w:adjustRightInd w:val="0"/>
        <w:spacing w:after="0" w:line="240" w:lineRule="auto"/>
        <w:rPr>
          <w:rFonts w:ascii="Times New Roman" w:hAnsi="Times New Roman"/>
          <w:b/>
          <w:bCs/>
          <w:color w:val="000000"/>
          <w:sz w:val="24"/>
          <w:szCs w:val="24"/>
        </w:rPr>
      </w:pPr>
    </w:p>
    <w:p w:rsidR="00C318BA" w:rsidRPr="004E2DDA" w:rsidRDefault="00C318BA" w:rsidP="00C318BA">
      <w:pPr>
        <w:widowControl w:val="0"/>
        <w:autoSpaceDE w:val="0"/>
        <w:autoSpaceDN w:val="0"/>
        <w:adjustRightInd w:val="0"/>
        <w:spacing w:after="0" w:line="240" w:lineRule="auto"/>
        <w:rPr>
          <w:rFonts w:ascii="Arial" w:hAnsi="Arial" w:cs="Arial"/>
          <w:sz w:val="24"/>
          <w:szCs w:val="24"/>
        </w:rPr>
      </w:pPr>
      <w:r w:rsidRPr="004E2DDA">
        <w:rPr>
          <w:rFonts w:ascii="Times New Roman" w:hAnsi="Times New Roman"/>
          <w:b/>
          <w:bCs/>
          <w:color w:val="000000"/>
          <w:sz w:val="24"/>
          <w:szCs w:val="24"/>
        </w:rPr>
        <w:t>Tablica 18. Typ i wymiar mieszanek mineralno- asfaltowych do warstw nawierzchni</w:t>
      </w:r>
    </w:p>
    <w:tbl>
      <w:tblPr>
        <w:tblW w:w="9374" w:type="dxa"/>
        <w:tblInd w:w="40" w:type="dxa"/>
        <w:tblLayout w:type="fixed"/>
        <w:tblCellMar>
          <w:left w:w="40" w:type="dxa"/>
          <w:right w:w="40" w:type="dxa"/>
        </w:tblCellMar>
        <w:tblLook w:val="0000" w:firstRow="0" w:lastRow="0" w:firstColumn="0" w:lastColumn="0" w:noHBand="0" w:noVBand="0"/>
      </w:tblPr>
      <w:tblGrid>
        <w:gridCol w:w="1872"/>
        <w:gridCol w:w="1939"/>
        <w:gridCol w:w="2143"/>
        <w:gridCol w:w="1534"/>
        <w:gridCol w:w="1886"/>
      </w:tblGrid>
      <w:tr w:rsidR="00C318BA" w:rsidRPr="004E2DDA" w:rsidTr="00C318BA">
        <w:trPr>
          <w:trHeight w:hRule="exact" w:val="792"/>
        </w:trPr>
        <w:tc>
          <w:tcPr>
            <w:tcW w:w="1872"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35" w:lineRule="exact"/>
              <w:ind w:left="187" w:right="158"/>
              <w:rPr>
                <w:rStyle w:val="FontStyle67"/>
                <w:sz w:val="20"/>
                <w:szCs w:val="20"/>
              </w:rPr>
            </w:pPr>
            <w:r w:rsidRPr="004E2DDA">
              <w:rPr>
                <w:rStyle w:val="FontStyle67"/>
                <w:sz w:val="20"/>
                <w:szCs w:val="20"/>
              </w:rPr>
              <w:t>Warstwa i sposób projektowania</w:t>
            </w:r>
          </w:p>
        </w:tc>
        <w:tc>
          <w:tcPr>
            <w:tcW w:w="1939"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40" w:lineRule="exact"/>
              <w:rPr>
                <w:rStyle w:val="FontStyle67"/>
                <w:sz w:val="20"/>
                <w:szCs w:val="20"/>
              </w:rPr>
            </w:pPr>
            <w:r w:rsidRPr="004E2DDA">
              <w:rPr>
                <w:rStyle w:val="FontStyle67"/>
                <w:sz w:val="20"/>
                <w:szCs w:val="20"/>
              </w:rPr>
              <w:t>Typ i wymiar mieszanki, przeznaczenie</w:t>
            </w:r>
          </w:p>
        </w:tc>
        <w:tc>
          <w:tcPr>
            <w:tcW w:w="2143"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35" w:lineRule="exact"/>
              <w:ind w:left="91" w:right="96"/>
              <w:rPr>
                <w:rStyle w:val="FontStyle67"/>
                <w:sz w:val="20"/>
                <w:szCs w:val="20"/>
              </w:rPr>
            </w:pPr>
            <w:r w:rsidRPr="004E2DDA">
              <w:rPr>
                <w:rStyle w:val="FontStyle67"/>
                <w:sz w:val="20"/>
                <w:szCs w:val="20"/>
              </w:rPr>
              <w:t>Projektowana grubość warstwy technologicznej [cm]</w:t>
            </w:r>
          </w:p>
        </w:tc>
        <w:tc>
          <w:tcPr>
            <w:tcW w:w="1534"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54" w:lineRule="exact"/>
              <w:ind w:left="149" w:right="125"/>
              <w:rPr>
                <w:rStyle w:val="FontStyle67"/>
                <w:sz w:val="20"/>
                <w:szCs w:val="20"/>
              </w:rPr>
            </w:pPr>
            <w:r w:rsidRPr="004E2DDA">
              <w:rPr>
                <w:rStyle w:val="FontStyle67"/>
                <w:sz w:val="20"/>
                <w:szCs w:val="20"/>
              </w:rPr>
              <w:t>Wskaźnik zagęszczenia [%]</w:t>
            </w:r>
          </w:p>
        </w:tc>
        <w:tc>
          <w:tcPr>
            <w:tcW w:w="1886"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35" w:lineRule="exact"/>
              <w:rPr>
                <w:rStyle w:val="FontStyle67"/>
                <w:sz w:val="20"/>
                <w:szCs w:val="20"/>
              </w:rPr>
            </w:pPr>
            <w:r w:rsidRPr="004E2DDA">
              <w:rPr>
                <w:rStyle w:val="FontStyle67"/>
                <w:sz w:val="20"/>
                <w:szCs w:val="20"/>
              </w:rPr>
              <w:t>Zawartość wolnych przestrzeni w warstwie [°%v/v)]</w:t>
            </w:r>
          </w:p>
        </w:tc>
      </w:tr>
      <w:tr w:rsidR="00C318BA" w:rsidRPr="004E2DDA" w:rsidTr="002B3AB4">
        <w:trPr>
          <w:trHeight w:hRule="exact" w:val="314"/>
        </w:trPr>
        <w:tc>
          <w:tcPr>
            <w:tcW w:w="1872" w:type="dxa"/>
            <w:tcBorders>
              <w:top w:val="single" w:sz="6" w:space="0" w:color="auto"/>
              <w:left w:val="single" w:sz="6" w:space="0" w:color="auto"/>
              <w:bottom w:val="single" w:sz="6" w:space="0" w:color="auto"/>
              <w:right w:val="single" w:sz="6" w:space="0" w:color="auto"/>
            </w:tcBorders>
            <w:vAlign w:val="center"/>
          </w:tcPr>
          <w:p w:rsidR="00C318BA" w:rsidRPr="004E2DDA" w:rsidRDefault="002B3AB4" w:rsidP="002B3AB4">
            <w:pPr>
              <w:pStyle w:val="Style39"/>
              <w:widowControl/>
              <w:spacing w:line="235" w:lineRule="exact"/>
              <w:rPr>
                <w:rStyle w:val="FontStyle67"/>
                <w:sz w:val="20"/>
                <w:szCs w:val="20"/>
              </w:rPr>
            </w:pPr>
            <w:r>
              <w:rPr>
                <w:rStyle w:val="FontStyle67"/>
                <w:sz w:val="20"/>
                <w:szCs w:val="20"/>
              </w:rPr>
              <w:t xml:space="preserve">Warstwa </w:t>
            </w:r>
            <w:r w:rsidR="007C5844">
              <w:rPr>
                <w:rStyle w:val="FontStyle67"/>
                <w:sz w:val="20"/>
                <w:szCs w:val="20"/>
              </w:rPr>
              <w:t>wiążąca</w:t>
            </w:r>
          </w:p>
        </w:tc>
        <w:tc>
          <w:tcPr>
            <w:tcW w:w="1939" w:type="dxa"/>
            <w:tcBorders>
              <w:top w:val="single" w:sz="6" w:space="0" w:color="auto"/>
              <w:left w:val="single" w:sz="6" w:space="0" w:color="auto"/>
              <w:bottom w:val="single" w:sz="6" w:space="0" w:color="auto"/>
              <w:right w:val="single" w:sz="6" w:space="0" w:color="auto"/>
            </w:tcBorders>
            <w:vAlign w:val="center"/>
          </w:tcPr>
          <w:p w:rsidR="00C318BA" w:rsidRPr="004E2DDA" w:rsidRDefault="007C5844" w:rsidP="002B3AB4">
            <w:pPr>
              <w:pStyle w:val="Style39"/>
              <w:widowControl/>
              <w:rPr>
                <w:rStyle w:val="FontStyle67"/>
                <w:sz w:val="20"/>
                <w:szCs w:val="20"/>
              </w:rPr>
            </w:pPr>
            <w:r>
              <w:rPr>
                <w:rStyle w:val="FontStyle67"/>
                <w:sz w:val="20"/>
                <w:szCs w:val="20"/>
              </w:rPr>
              <w:t>AC 16 W</w:t>
            </w:r>
            <w:r w:rsidR="00C318BA" w:rsidRPr="004E2DDA">
              <w:rPr>
                <w:rStyle w:val="FontStyle67"/>
                <w:sz w:val="20"/>
                <w:szCs w:val="20"/>
              </w:rPr>
              <w:t>, KR 1-2</w:t>
            </w:r>
          </w:p>
        </w:tc>
        <w:tc>
          <w:tcPr>
            <w:tcW w:w="2143" w:type="dxa"/>
            <w:tcBorders>
              <w:top w:val="single" w:sz="6" w:space="0" w:color="auto"/>
              <w:left w:val="single" w:sz="6" w:space="0" w:color="auto"/>
              <w:bottom w:val="single" w:sz="6" w:space="0" w:color="auto"/>
              <w:right w:val="single" w:sz="6" w:space="0" w:color="auto"/>
            </w:tcBorders>
            <w:vAlign w:val="center"/>
          </w:tcPr>
          <w:p w:rsidR="00C318BA" w:rsidRPr="004E2DDA" w:rsidRDefault="003A6259" w:rsidP="002B3AB4">
            <w:pPr>
              <w:pStyle w:val="Style39"/>
              <w:widowControl/>
              <w:rPr>
                <w:rStyle w:val="FontStyle67"/>
                <w:sz w:val="20"/>
                <w:szCs w:val="20"/>
              </w:rPr>
            </w:pPr>
            <w:r>
              <w:rPr>
                <w:rStyle w:val="FontStyle67"/>
                <w:sz w:val="20"/>
                <w:szCs w:val="20"/>
              </w:rPr>
              <w:t>4,0</w:t>
            </w:r>
          </w:p>
        </w:tc>
        <w:tc>
          <w:tcPr>
            <w:tcW w:w="1534" w:type="dxa"/>
            <w:tcBorders>
              <w:top w:val="single" w:sz="6" w:space="0" w:color="auto"/>
              <w:left w:val="single" w:sz="6" w:space="0" w:color="auto"/>
              <w:bottom w:val="single" w:sz="6" w:space="0" w:color="auto"/>
              <w:right w:val="single" w:sz="6" w:space="0" w:color="auto"/>
            </w:tcBorders>
            <w:vAlign w:val="center"/>
          </w:tcPr>
          <w:p w:rsidR="00C318BA" w:rsidRPr="004E2DDA" w:rsidRDefault="00C318BA" w:rsidP="002B3AB4">
            <w:pPr>
              <w:pStyle w:val="Style39"/>
              <w:widowControl/>
              <w:rPr>
                <w:rStyle w:val="FontStyle67"/>
                <w:sz w:val="20"/>
                <w:szCs w:val="20"/>
              </w:rPr>
            </w:pPr>
            <w:r w:rsidRPr="004E2DDA">
              <w:rPr>
                <w:rStyle w:val="FontStyle67"/>
                <w:sz w:val="20"/>
                <w:szCs w:val="20"/>
              </w:rPr>
              <w:t>≥98</w:t>
            </w:r>
          </w:p>
        </w:tc>
        <w:tc>
          <w:tcPr>
            <w:tcW w:w="1886" w:type="dxa"/>
            <w:tcBorders>
              <w:top w:val="single" w:sz="6" w:space="0" w:color="auto"/>
              <w:left w:val="single" w:sz="6" w:space="0" w:color="auto"/>
              <w:bottom w:val="single" w:sz="6" w:space="0" w:color="auto"/>
              <w:right w:val="single" w:sz="6" w:space="0" w:color="auto"/>
            </w:tcBorders>
            <w:vAlign w:val="center"/>
          </w:tcPr>
          <w:p w:rsidR="00C318BA" w:rsidRPr="004E2DDA" w:rsidRDefault="007C5844" w:rsidP="002B3AB4">
            <w:pPr>
              <w:pStyle w:val="Style39"/>
              <w:widowControl/>
              <w:rPr>
                <w:rStyle w:val="FontStyle67"/>
                <w:sz w:val="20"/>
                <w:szCs w:val="20"/>
              </w:rPr>
            </w:pPr>
            <w:r>
              <w:rPr>
                <w:rStyle w:val="FontStyle67"/>
                <w:sz w:val="20"/>
                <w:szCs w:val="20"/>
              </w:rPr>
              <w:t>3</w:t>
            </w:r>
            <w:r w:rsidR="00C318BA" w:rsidRPr="004E2DDA">
              <w:rPr>
                <w:rStyle w:val="FontStyle67"/>
                <w:sz w:val="20"/>
                <w:szCs w:val="20"/>
              </w:rPr>
              <w:t xml:space="preserve">,0 - </w:t>
            </w:r>
            <w:r>
              <w:rPr>
                <w:rStyle w:val="FontStyle67"/>
                <w:sz w:val="20"/>
                <w:szCs w:val="20"/>
              </w:rPr>
              <w:t>7</w:t>
            </w:r>
            <w:r w:rsidR="00C318BA" w:rsidRPr="004E2DDA">
              <w:rPr>
                <w:rStyle w:val="FontStyle67"/>
                <w:sz w:val="20"/>
                <w:szCs w:val="20"/>
              </w:rPr>
              <w:t>,0</w:t>
            </w:r>
          </w:p>
        </w:tc>
      </w:tr>
      <w:tr w:rsidR="0001527E" w:rsidRPr="004E2DDA" w:rsidTr="002B3AB4">
        <w:trPr>
          <w:trHeight w:hRule="exact" w:val="314"/>
        </w:trPr>
        <w:tc>
          <w:tcPr>
            <w:tcW w:w="1872" w:type="dxa"/>
            <w:tcBorders>
              <w:top w:val="single" w:sz="6" w:space="0" w:color="auto"/>
              <w:left w:val="single" w:sz="6" w:space="0" w:color="auto"/>
              <w:bottom w:val="single" w:sz="6" w:space="0" w:color="auto"/>
              <w:right w:val="single" w:sz="6" w:space="0" w:color="auto"/>
            </w:tcBorders>
            <w:vAlign w:val="center"/>
          </w:tcPr>
          <w:p w:rsidR="0001527E" w:rsidRDefault="0001527E" w:rsidP="002B3AB4">
            <w:pPr>
              <w:pStyle w:val="Style39"/>
              <w:widowControl/>
              <w:spacing w:line="235" w:lineRule="exact"/>
              <w:rPr>
                <w:rStyle w:val="FontStyle67"/>
                <w:sz w:val="20"/>
                <w:szCs w:val="20"/>
              </w:rPr>
            </w:pPr>
            <w:r>
              <w:rPr>
                <w:rStyle w:val="FontStyle67"/>
                <w:sz w:val="20"/>
                <w:szCs w:val="20"/>
              </w:rPr>
              <w:t>Warstwa wyrównawcza</w:t>
            </w:r>
          </w:p>
        </w:tc>
        <w:tc>
          <w:tcPr>
            <w:tcW w:w="1939" w:type="dxa"/>
            <w:tcBorders>
              <w:top w:val="single" w:sz="6" w:space="0" w:color="auto"/>
              <w:left w:val="single" w:sz="6" w:space="0" w:color="auto"/>
              <w:bottom w:val="single" w:sz="6" w:space="0" w:color="auto"/>
              <w:right w:val="single" w:sz="6" w:space="0" w:color="auto"/>
            </w:tcBorders>
            <w:vAlign w:val="center"/>
          </w:tcPr>
          <w:p w:rsidR="0001527E" w:rsidRDefault="0001527E" w:rsidP="0001527E">
            <w:pPr>
              <w:pStyle w:val="Style39"/>
              <w:widowControl/>
              <w:rPr>
                <w:rStyle w:val="FontStyle67"/>
                <w:sz w:val="20"/>
                <w:szCs w:val="20"/>
              </w:rPr>
            </w:pPr>
            <w:r>
              <w:rPr>
                <w:rStyle w:val="FontStyle67"/>
                <w:sz w:val="20"/>
                <w:szCs w:val="20"/>
              </w:rPr>
              <w:t>AC 16 W KR 1-2</w:t>
            </w:r>
          </w:p>
        </w:tc>
        <w:tc>
          <w:tcPr>
            <w:tcW w:w="2143" w:type="dxa"/>
            <w:tcBorders>
              <w:top w:val="single" w:sz="6" w:space="0" w:color="auto"/>
              <w:left w:val="single" w:sz="6" w:space="0" w:color="auto"/>
              <w:bottom w:val="single" w:sz="6" w:space="0" w:color="auto"/>
              <w:right w:val="single" w:sz="6" w:space="0" w:color="auto"/>
            </w:tcBorders>
            <w:vAlign w:val="center"/>
          </w:tcPr>
          <w:p w:rsidR="0001527E" w:rsidRDefault="0001527E" w:rsidP="002B3AB4">
            <w:pPr>
              <w:pStyle w:val="Style39"/>
              <w:widowControl/>
              <w:rPr>
                <w:rStyle w:val="FontStyle67"/>
                <w:sz w:val="20"/>
                <w:szCs w:val="20"/>
              </w:rPr>
            </w:pPr>
            <w:r>
              <w:rPr>
                <w:rStyle w:val="FontStyle67"/>
                <w:sz w:val="20"/>
                <w:szCs w:val="20"/>
              </w:rPr>
              <w:t>Zmienna</w:t>
            </w:r>
          </w:p>
        </w:tc>
        <w:tc>
          <w:tcPr>
            <w:tcW w:w="1534" w:type="dxa"/>
            <w:tcBorders>
              <w:top w:val="single" w:sz="6" w:space="0" w:color="auto"/>
              <w:left w:val="single" w:sz="6" w:space="0" w:color="auto"/>
              <w:bottom w:val="single" w:sz="6" w:space="0" w:color="auto"/>
              <w:right w:val="single" w:sz="6" w:space="0" w:color="auto"/>
            </w:tcBorders>
            <w:vAlign w:val="center"/>
          </w:tcPr>
          <w:p w:rsidR="0001527E" w:rsidRPr="004E2DDA" w:rsidRDefault="0001527E" w:rsidP="002B3AB4">
            <w:pPr>
              <w:pStyle w:val="Style39"/>
              <w:widowControl/>
              <w:rPr>
                <w:rStyle w:val="FontStyle67"/>
                <w:sz w:val="20"/>
                <w:szCs w:val="20"/>
              </w:rPr>
            </w:pPr>
            <w:r w:rsidRPr="004E2DDA">
              <w:rPr>
                <w:rStyle w:val="FontStyle67"/>
                <w:sz w:val="20"/>
                <w:szCs w:val="20"/>
              </w:rPr>
              <w:t>≥98</w:t>
            </w:r>
          </w:p>
        </w:tc>
        <w:tc>
          <w:tcPr>
            <w:tcW w:w="1886" w:type="dxa"/>
            <w:tcBorders>
              <w:top w:val="single" w:sz="6" w:space="0" w:color="auto"/>
              <w:left w:val="single" w:sz="6" w:space="0" w:color="auto"/>
              <w:bottom w:val="single" w:sz="6" w:space="0" w:color="auto"/>
              <w:right w:val="single" w:sz="6" w:space="0" w:color="auto"/>
            </w:tcBorders>
            <w:vAlign w:val="center"/>
          </w:tcPr>
          <w:p w:rsidR="0001527E" w:rsidRDefault="0001527E" w:rsidP="002B3AB4">
            <w:pPr>
              <w:pStyle w:val="Style39"/>
              <w:widowControl/>
              <w:rPr>
                <w:rStyle w:val="FontStyle67"/>
                <w:sz w:val="20"/>
                <w:szCs w:val="20"/>
              </w:rPr>
            </w:pPr>
            <w:r>
              <w:rPr>
                <w:rStyle w:val="FontStyle67"/>
                <w:sz w:val="20"/>
                <w:szCs w:val="20"/>
              </w:rPr>
              <w:t>3,0 – 8,0</w:t>
            </w:r>
          </w:p>
        </w:tc>
      </w:tr>
    </w:tbl>
    <w:p w:rsidR="00C318BA" w:rsidRPr="004E2DDA" w:rsidRDefault="00C318BA" w:rsidP="00C318BA">
      <w:pPr>
        <w:widowControl w:val="0"/>
        <w:autoSpaceDE w:val="0"/>
        <w:autoSpaceDN w:val="0"/>
        <w:adjustRightInd w:val="0"/>
        <w:spacing w:before="22" w:after="0" w:line="240" w:lineRule="auto"/>
        <w:rPr>
          <w:rFonts w:ascii="Times New Roman" w:hAnsi="Times New Roman"/>
          <w:sz w:val="24"/>
          <w:szCs w:val="24"/>
        </w:rPr>
      </w:pPr>
      <w:r w:rsidRPr="004E2DDA">
        <w:rPr>
          <w:rFonts w:ascii="Times New Roman" w:hAnsi="Times New Roman"/>
          <w:b/>
          <w:bCs/>
          <w:i/>
          <w:iCs/>
          <w:color w:val="000000"/>
          <w:sz w:val="24"/>
          <w:szCs w:val="24"/>
        </w:rPr>
        <w:t xml:space="preserve">6.2.2. Równość </w:t>
      </w:r>
    </w:p>
    <w:p w:rsidR="0001527E" w:rsidRPr="00C00445" w:rsidRDefault="0001527E" w:rsidP="0001527E">
      <w:pPr>
        <w:autoSpaceDE w:val="0"/>
        <w:autoSpaceDN w:val="0"/>
        <w:adjustRightInd w:val="0"/>
        <w:spacing w:after="0" w:line="240" w:lineRule="auto"/>
        <w:ind w:firstLine="708"/>
        <w:jc w:val="both"/>
        <w:rPr>
          <w:rFonts w:ascii="Times New Roman" w:hAnsi="Times New Roman"/>
          <w:color w:val="000000"/>
          <w:sz w:val="24"/>
          <w:szCs w:val="24"/>
        </w:rPr>
      </w:pPr>
      <w:r w:rsidRPr="00C00445">
        <w:rPr>
          <w:rFonts w:ascii="Times New Roman" w:hAnsi="Times New Roman"/>
          <w:color w:val="000000"/>
          <w:sz w:val="24"/>
          <w:szCs w:val="24"/>
        </w:rPr>
        <w:t>Dla dróg o kategorii ruchu KR1-KR2 do oceny równo</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ci podłu</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nej nale</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y zastosowa</w:t>
      </w:r>
      <w:r w:rsidRPr="00C00445">
        <w:rPr>
          <w:rFonts w:ascii="Times New Roman" w:hAnsi="Times New Roman" w:hint="eastAsia"/>
          <w:color w:val="000000"/>
          <w:sz w:val="24"/>
          <w:szCs w:val="24"/>
        </w:rPr>
        <w:t>ć</w:t>
      </w:r>
      <w:r w:rsidRPr="00C00445">
        <w:rPr>
          <w:rFonts w:ascii="Times New Roman" w:hAnsi="Times New Roman"/>
          <w:color w:val="000000"/>
          <w:sz w:val="24"/>
          <w:szCs w:val="24"/>
        </w:rPr>
        <w:t xml:space="preserve"> metod</w:t>
      </w:r>
      <w:r w:rsidRPr="00C00445">
        <w:rPr>
          <w:rFonts w:ascii="Times New Roman" w:hAnsi="Times New Roman" w:hint="eastAsia"/>
          <w:color w:val="000000"/>
          <w:sz w:val="24"/>
          <w:szCs w:val="24"/>
        </w:rPr>
        <w:t>ę</w:t>
      </w:r>
      <w:r w:rsidRPr="00C00445">
        <w:rPr>
          <w:rFonts w:ascii="Times New Roman" w:hAnsi="Times New Roman"/>
          <w:color w:val="000000"/>
          <w:sz w:val="24"/>
          <w:szCs w:val="24"/>
        </w:rPr>
        <w:t xml:space="preserve"> pomiaru</w:t>
      </w:r>
      <w:r>
        <w:rPr>
          <w:rFonts w:ascii="Times New Roman" w:hAnsi="Times New Roman"/>
          <w:color w:val="000000"/>
          <w:sz w:val="24"/>
          <w:szCs w:val="24"/>
        </w:rPr>
        <w:t xml:space="preserve"> </w:t>
      </w:r>
      <w:r w:rsidRPr="00C00445">
        <w:rPr>
          <w:rFonts w:ascii="Times New Roman" w:hAnsi="Times New Roman"/>
          <w:color w:val="000000"/>
          <w:sz w:val="24"/>
          <w:szCs w:val="24"/>
        </w:rPr>
        <w:t>przy u</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 xml:space="preserve">yciu łaty 4m i klina lub </w:t>
      </w:r>
      <w:proofErr w:type="spellStart"/>
      <w:r w:rsidRPr="00C00445">
        <w:rPr>
          <w:rFonts w:ascii="Times New Roman" w:hAnsi="Times New Roman"/>
          <w:color w:val="000000"/>
          <w:sz w:val="24"/>
          <w:szCs w:val="24"/>
        </w:rPr>
        <w:t>planografu</w:t>
      </w:r>
      <w:proofErr w:type="spellEnd"/>
      <w:r w:rsidRPr="00C00445">
        <w:rPr>
          <w:rFonts w:ascii="Times New Roman" w:hAnsi="Times New Roman"/>
          <w:color w:val="000000"/>
          <w:sz w:val="24"/>
          <w:szCs w:val="24"/>
        </w:rPr>
        <w:t>. Nierówno</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 xml:space="preserve">ci nawierzchni </w:t>
      </w:r>
      <w:r>
        <w:rPr>
          <w:rFonts w:ascii="Times New Roman" w:hAnsi="Times New Roman"/>
          <w:color w:val="000000"/>
          <w:sz w:val="24"/>
          <w:szCs w:val="24"/>
        </w:rPr>
        <w:t>ścieralnej</w:t>
      </w:r>
      <w:r w:rsidRPr="00C00445">
        <w:rPr>
          <w:rFonts w:ascii="Times New Roman" w:hAnsi="Times New Roman"/>
          <w:color w:val="000000"/>
          <w:sz w:val="24"/>
          <w:szCs w:val="24"/>
        </w:rPr>
        <w:t xml:space="preserve"> nie powinny by</w:t>
      </w:r>
      <w:r w:rsidRPr="00C00445">
        <w:rPr>
          <w:rFonts w:ascii="Times New Roman" w:hAnsi="Times New Roman" w:hint="eastAsia"/>
          <w:color w:val="000000"/>
          <w:sz w:val="24"/>
          <w:szCs w:val="24"/>
        </w:rPr>
        <w:t>ć</w:t>
      </w:r>
      <w:r w:rsidRPr="00C00445">
        <w:rPr>
          <w:rFonts w:ascii="Times New Roman" w:hAnsi="Times New Roman"/>
          <w:color w:val="000000"/>
          <w:sz w:val="24"/>
          <w:szCs w:val="24"/>
        </w:rPr>
        <w:t xml:space="preserve"> wi</w:t>
      </w:r>
      <w:r w:rsidRPr="00C00445">
        <w:rPr>
          <w:rFonts w:ascii="Times New Roman" w:hAnsi="Times New Roman" w:hint="eastAsia"/>
          <w:color w:val="000000"/>
          <w:sz w:val="24"/>
          <w:szCs w:val="24"/>
        </w:rPr>
        <w:t>ę</w:t>
      </w:r>
      <w:r w:rsidRPr="00C00445">
        <w:rPr>
          <w:rFonts w:ascii="Times New Roman" w:hAnsi="Times New Roman"/>
          <w:color w:val="000000"/>
          <w:sz w:val="24"/>
          <w:szCs w:val="24"/>
        </w:rPr>
        <w:t>ksze</w:t>
      </w:r>
      <w:r>
        <w:rPr>
          <w:rFonts w:ascii="Times New Roman" w:hAnsi="Times New Roman"/>
          <w:color w:val="000000"/>
          <w:sz w:val="24"/>
          <w:szCs w:val="24"/>
        </w:rPr>
        <w:t xml:space="preserve"> </w:t>
      </w:r>
      <w:r w:rsidRPr="00C00445">
        <w:rPr>
          <w:rFonts w:ascii="Times New Roman" w:hAnsi="Times New Roman"/>
          <w:color w:val="000000"/>
          <w:sz w:val="24"/>
          <w:szCs w:val="24"/>
        </w:rPr>
        <w:t>ni</w:t>
      </w:r>
      <w:r w:rsidRPr="00C00445">
        <w:rPr>
          <w:rFonts w:ascii="Times New Roman" w:hAnsi="Times New Roman" w:hint="eastAsia"/>
          <w:color w:val="000000"/>
          <w:sz w:val="24"/>
          <w:szCs w:val="24"/>
        </w:rPr>
        <w:t>ż</w:t>
      </w:r>
      <w:r w:rsidR="00D160A1">
        <w:rPr>
          <w:rFonts w:ascii="Times New Roman" w:hAnsi="Times New Roman"/>
          <w:color w:val="000000"/>
          <w:sz w:val="24"/>
          <w:szCs w:val="24"/>
        </w:rPr>
        <w:t xml:space="preserve"> 12</w:t>
      </w:r>
      <w:r w:rsidRPr="00C00445">
        <w:rPr>
          <w:rFonts w:ascii="Times New Roman" w:hAnsi="Times New Roman"/>
          <w:color w:val="000000"/>
          <w:sz w:val="24"/>
          <w:szCs w:val="24"/>
        </w:rPr>
        <w:t>mm.</w:t>
      </w:r>
    </w:p>
    <w:p w:rsidR="0001527E" w:rsidRDefault="0001527E" w:rsidP="0001527E">
      <w:pPr>
        <w:widowControl w:val="0"/>
        <w:autoSpaceDE w:val="0"/>
        <w:autoSpaceDN w:val="0"/>
        <w:adjustRightInd w:val="0"/>
        <w:spacing w:before="50" w:after="0" w:line="240" w:lineRule="auto"/>
        <w:jc w:val="both"/>
        <w:rPr>
          <w:rFonts w:ascii="Times New Roman" w:hAnsi="Times New Roman"/>
          <w:color w:val="000000"/>
          <w:sz w:val="24"/>
          <w:szCs w:val="24"/>
        </w:rPr>
      </w:pPr>
      <w:r w:rsidRPr="00C00445">
        <w:rPr>
          <w:rFonts w:ascii="Times New Roman" w:hAnsi="Times New Roman"/>
          <w:color w:val="000000"/>
          <w:sz w:val="24"/>
          <w:szCs w:val="24"/>
        </w:rPr>
        <w:t>Pomiary równo</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ci podłu</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nej nale</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y wykonywa</w:t>
      </w:r>
      <w:r w:rsidRPr="00C00445">
        <w:rPr>
          <w:rFonts w:ascii="Times New Roman" w:hAnsi="Times New Roman" w:hint="eastAsia"/>
          <w:color w:val="000000"/>
          <w:sz w:val="24"/>
          <w:szCs w:val="24"/>
        </w:rPr>
        <w:t>ć</w:t>
      </w:r>
      <w:r w:rsidRPr="00C00445">
        <w:rPr>
          <w:rFonts w:ascii="Times New Roman" w:hAnsi="Times New Roman"/>
          <w:color w:val="000000"/>
          <w:sz w:val="24"/>
          <w:szCs w:val="24"/>
        </w:rPr>
        <w:t xml:space="preserve"> w </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rodku ka</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dego ocenianego pasa ruchu.</w:t>
      </w:r>
    </w:p>
    <w:p w:rsidR="0001527E" w:rsidRPr="00C00445" w:rsidRDefault="0001527E" w:rsidP="0001527E">
      <w:pPr>
        <w:widowControl w:val="0"/>
        <w:autoSpaceDE w:val="0"/>
        <w:autoSpaceDN w:val="0"/>
        <w:adjustRightInd w:val="0"/>
        <w:spacing w:before="50" w:after="0" w:line="240" w:lineRule="auto"/>
        <w:jc w:val="both"/>
        <w:rPr>
          <w:rFonts w:ascii="Times New Roman" w:hAnsi="Times New Roman"/>
          <w:color w:val="000000"/>
          <w:sz w:val="24"/>
          <w:szCs w:val="24"/>
        </w:rPr>
      </w:pPr>
      <w:r>
        <w:rPr>
          <w:rFonts w:ascii="Times New Roman" w:hAnsi="Times New Roman"/>
          <w:color w:val="000000"/>
          <w:sz w:val="24"/>
          <w:szCs w:val="24"/>
        </w:rPr>
        <w:t>Wymagania co do równości poprzecznej podano w tablicy 19</w:t>
      </w:r>
    </w:p>
    <w:p w:rsidR="00C318BA" w:rsidRPr="004E2DDA"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Default="00C318BA" w:rsidP="00C318BA">
      <w:pPr>
        <w:widowControl w:val="0"/>
        <w:autoSpaceDE w:val="0"/>
        <w:autoSpaceDN w:val="0"/>
        <w:adjustRightInd w:val="0"/>
        <w:spacing w:before="22" w:after="0" w:line="240" w:lineRule="auto"/>
        <w:jc w:val="both"/>
        <w:rPr>
          <w:rFonts w:ascii="Times New Roman" w:hAnsi="Times New Roman"/>
          <w:b/>
          <w:bCs/>
          <w:color w:val="000000"/>
          <w:sz w:val="24"/>
          <w:szCs w:val="24"/>
        </w:rPr>
      </w:pPr>
      <w:r w:rsidRPr="004E2DDA">
        <w:rPr>
          <w:rFonts w:ascii="Times New Roman" w:hAnsi="Times New Roman"/>
          <w:b/>
          <w:bCs/>
          <w:color w:val="000000"/>
          <w:sz w:val="24"/>
          <w:szCs w:val="24"/>
        </w:rPr>
        <w:t xml:space="preserve">Tablica 19. Dopuszczalne wartości odchyleń równości </w:t>
      </w:r>
      <w:r w:rsidR="007C5844">
        <w:rPr>
          <w:rFonts w:ascii="Times New Roman" w:hAnsi="Times New Roman"/>
          <w:b/>
          <w:bCs/>
          <w:color w:val="000000"/>
          <w:sz w:val="24"/>
          <w:szCs w:val="24"/>
        </w:rPr>
        <w:t>poprzecznej warstwy wiążącej</w:t>
      </w:r>
      <w:r w:rsidRPr="004E2DDA">
        <w:rPr>
          <w:rFonts w:ascii="Times New Roman" w:hAnsi="Times New Roman"/>
          <w:b/>
          <w:bCs/>
          <w:color w:val="000000"/>
          <w:sz w:val="24"/>
          <w:szCs w:val="24"/>
        </w:rPr>
        <w:t xml:space="preserve"> </w:t>
      </w:r>
    </w:p>
    <w:p w:rsidR="00C318BA" w:rsidRDefault="00C318BA" w:rsidP="00C318BA">
      <w:pPr>
        <w:widowControl w:val="0"/>
        <w:autoSpaceDE w:val="0"/>
        <w:autoSpaceDN w:val="0"/>
        <w:adjustRightInd w:val="0"/>
        <w:spacing w:before="22" w:after="0" w:line="240" w:lineRule="auto"/>
        <w:ind w:left="1207"/>
        <w:jc w:val="both"/>
        <w:rPr>
          <w:rFonts w:ascii="Times New Roman" w:hAnsi="Times New Roman"/>
          <w:b/>
          <w:bCs/>
          <w:color w:val="000000"/>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1138"/>
        <w:gridCol w:w="4114"/>
        <w:gridCol w:w="2558"/>
      </w:tblGrid>
      <w:tr w:rsidR="00C318BA" w:rsidRPr="00616AD6" w:rsidTr="00C318BA">
        <w:trPr>
          <w:trHeight w:hRule="exact" w:val="437"/>
        </w:trPr>
        <w:tc>
          <w:tcPr>
            <w:tcW w:w="113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Klasa drogi</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ind w:left="936"/>
              <w:jc w:val="both"/>
              <w:rPr>
                <w:rStyle w:val="FontStyle63"/>
                <w:sz w:val="20"/>
                <w:szCs w:val="20"/>
              </w:rPr>
            </w:pPr>
            <w:r w:rsidRPr="00616AD6">
              <w:rPr>
                <w:rStyle w:val="FontStyle63"/>
                <w:sz w:val="20"/>
                <w:szCs w:val="20"/>
              </w:rPr>
              <w:t>Element nawierzchni</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06" w:lineRule="exact"/>
              <w:ind w:left="115" w:right="154"/>
              <w:jc w:val="both"/>
              <w:rPr>
                <w:rStyle w:val="FontStyle63"/>
                <w:sz w:val="20"/>
                <w:szCs w:val="20"/>
              </w:rPr>
            </w:pPr>
            <w:r w:rsidRPr="00616AD6">
              <w:rPr>
                <w:rStyle w:val="FontStyle63"/>
                <w:sz w:val="20"/>
                <w:szCs w:val="20"/>
              </w:rPr>
              <w:t>Wartości odchyleń równości poprzecznej [mm]</w:t>
            </w:r>
          </w:p>
        </w:tc>
      </w:tr>
      <w:tr w:rsidR="00C318BA" w:rsidRPr="00616AD6" w:rsidTr="00C318BA">
        <w:trPr>
          <w:trHeight w:hRule="exact" w:val="547"/>
        </w:trPr>
        <w:tc>
          <w:tcPr>
            <w:tcW w:w="1138" w:type="dxa"/>
            <w:vMerge w:val="restart"/>
            <w:tcBorders>
              <w:top w:val="single" w:sz="6" w:space="0" w:color="auto"/>
              <w:left w:val="single" w:sz="6" w:space="0" w:color="auto"/>
              <w:bottom w:val="nil"/>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A, S, GP</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8"/>
              <w:widowControl/>
              <w:ind w:right="586"/>
              <w:jc w:val="both"/>
              <w:rPr>
                <w:rStyle w:val="FontStyle63"/>
                <w:sz w:val="20"/>
                <w:szCs w:val="20"/>
              </w:rPr>
            </w:pPr>
            <w:r w:rsidRPr="00616AD6">
              <w:rPr>
                <w:rStyle w:val="FontStyle63"/>
                <w:sz w:val="20"/>
                <w:szCs w:val="20"/>
              </w:rPr>
              <w:t>Pasy: ruchu, awaryjne, dodatkowe, włączania i wyłączania</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xml:space="preserve">≤ </w:t>
            </w:r>
            <w:r w:rsidR="00D160A1">
              <w:rPr>
                <w:rStyle w:val="FontStyle63"/>
                <w:sz w:val="20"/>
                <w:szCs w:val="20"/>
              </w:rPr>
              <w:t>8</w:t>
            </w:r>
          </w:p>
        </w:tc>
      </w:tr>
      <w:tr w:rsidR="00C318BA" w:rsidRPr="00616AD6" w:rsidTr="00C318BA">
        <w:trPr>
          <w:trHeight w:hRule="exact" w:val="566"/>
        </w:trPr>
        <w:tc>
          <w:tcPr>
            <w:tcW w:w="1138" w:type="dxa"/>
            <w:vMerge/>
            <w:tcBorders>
              <w:top w:val="nil"/>
              <w:left w:val="single" w:sz="6" w:space="0" w:color="auto"/>
              <w:bottom w:val="single" w:sz="6" w:space="0" w:color="auto"/>
              <w:right w:val="single" w:sz="6" w:space="0" w:color="auto"/>
            </w:tcBorders>
          </w:tcPr>
          <w:p w:rsidR="00C318BA" w:rsidRPr="00616AD6" w:rsidRDefault="00C318BA" w:rsidP="00C318BA">
            <w:pPr>
              <w:jc w:val="both"/>
              <w:rPr>
                <w:rStyle w:val="FontStyle63"/>
                <w:sz w:val="20"/>
                <w:szCs w:val="20"/>
              </w:rPr>
            </w:pPr>
          </w:p>
          <w:p w:rsidR="00C318BA" w:rsidRPr="00616AD6" w:rsidRDefault="00C318BA" w:rsidP="00C318BA">
            <w:pPr>
              <w:jc w:val="both"/>
              <w:rPr>
                <w:rStyle w:val="FontStyle63"/>
                <w:sz w:val="20"/>
                <w:szCs w:val="20"/>
              </w:rPr>
            </w:pP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8"/>
              <w:widowControl/>
              <w:spacing w:line="206" w:lineRule="exact"/>
              <w:ind w:right="878" w:firstLine="10"/>
              <w:jc w:val="both"/>
              <w:rPr>
                <w:rStyle w:val="FontStyle63"/>
                <w:sz w:val="20"/>
                <w:szCs w:val="20"/>
              </w:rPr>
            </w:pPr>
            <w:r w:rsidRPr="00616AD6">
              <w:rPr>
                <w:rStyle w:val="FontStyle63"/>
                <w:sz w:val="20"/>
                <w:szCs w:val="20"/>
              </w:rPr>
              <w:t>Jezdnie łącznic, jezdnie MOP, utwardzone pobocza</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xml:space="preserve">≤ </w:t>
            </w:r>
            <w:r w:rsidR="00D160A1">
              <w:rPr>
                <w:rStyle w:val="FontStyle63"/>
                <w:sz w:val="20"/>
                <w:szCs w:val="20"/>
              </w:rPr>
              <w:t>10</w:t>
            </w:r>
          </w:p>
        </w:tc>
      </w:tr>
      <w:tr w:rsidR="00C318BA" w:rsidRPr="00616AD6" w:rsidTr="00C318BA">
        <w:trPr>
          <w:trHeight w:hRule="exact" w:val="778"/>
        </w:trPr>
        <w:tc>
          <w:tcPr>
            <w:tcW w:w="113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G</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8"/>
              <w:widowControl/>
              <w:spacing w:line="206" w:lineRule="exact"/>
              <w:ind w:right="442"/>
              <w:jc w:val="both"/>
              <w:rPr>
                <w:rStyle w:val="FontStyle63"/>
                <w:sz w:val="20"/>
                <w:szCs w:val="20"/>
              </w:rPr>
            </w:pPr>
            <w:r w:rsidRPr="00616AD6">
              <w:rPr>
                <w:rStyle w:val="FontStyle63"/>
                <w:sz w:val="20"/>
                <w:szCs w:val="20"/>
              </w:rPr>
              <w:t>Pasy: ruchu, dodatkowe, włączania i wyłączania, postojowe, jezdnie łącznic, utwardzone pobocza</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xml:space="preserve">≤ </w:t>
            </w:r>
            <w:r w:rsidR="00D160A1">
              <w:rPr>
                <w:rStyle w:val="FontStyle63"/>
                <w:sz w:val="20"/>
                <w:szCs w:val="20"/>
              </w:rPr>
              <w:t>12</w:t>
            </w:r>
          </w:p>
        </w:tc>
      </w:tr>
      <w:tr w:rsidR="00C318BA" w:rsidRPr="00616AD6" w:rsidTr="00C318BA">
        <w:trPr>
          <w:trHeight w:hRule="exact" w:val="274"/>
        </w:trPr>
        <w:tc>
          <w:tcPr>
            <w:tcW w:w="113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Z,L,D</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Pasy ruchu</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xml:space="preserve">≤ </w:t>
            </w:r>
            <w:r w:rsidR="00D160A1">
              <w:rPr>
                <w:rStyle w:val="FontStyle63"/>
                <w:sz w:val="20"/>
                <w:szCs w:val="20"/>
              </w:rPr>
              <w:t>15</w:t>
            </w:r>
          </w:p>
        </w:tc>
      </w:tr>
    </w:tbl>
    <w:p w:rsidR="00C318BA" w:rsidRPr="004E2DDA" w:rsidRDefault="00C318BA" w:rsidP="00C318BA">
      <w:pPr>
        <w:widowControl w:val="0"/>
        <w:autoSpaceDE w:val="0"/>
        <w:autoSpaceDN w:val="0"/>
        <w:adjustRightInd w:val="0"/>
        <w:spacing w:before="672" w:after="0" w:line="240" w:lineRule="auto"/>
        <w:jc w:val="both"/>
        <w:rPr>
          <w:rFonts w:ascii="Times New Roman" w:hAnsi="Times New Roman"/>
          <w:sz w:val="24"/>
          <w:szCs w:val="24"/>
        </w:rPr>
      </w:pPr>
      <w:r w:rsidRPr="004E2DDA">
        <w:rPr>
          <w:rFonts w:ascii="Times New Roman" w:hAnsi="Times New Roman"/>
          <w:b/>
          <w:bCs/>
          <w:color w:val="000000"/>
          <w:sz w:val="24"/>
          <w:szCs w:val="24"/>
        </w:rPr>
        <w:t xml:space="preserve">6.3. Dopuszczalne odchyłki </w:t>
      </w:r>
    </w:p>
    <w:p w:rsidR="00C318BA" w:rsidRPr="004E2DDA" w:rsidRDefault="00C318BA" w:rsidP="00C318BA">
      <w:pPr>
        <w:widowControl w:val="0"/>
        <w:autoSpaceDE w:val="0"/>
        <w:autoSpaceDN w:val="0"/>
        <w:adjustRightInd w:val="0"/>
        <w:spacing w:before="53" w:after="0" w:line="240" w:lineRule="auto"/>
        <w:jc w:val="both"/>
        <w:rPr>
          <w:rFonts w:ascii="Times New Roman" w:hAnsi="Times New Roman"/>
          <w:sz w:val="24"/>
          <w:szCs w:val="24"/>
        </w:rPr>
      </w:pPr>
      <w:r w:rsidRPr="004E2DDA">
        <w:rPr>
          <w:rFonts w:ascii="Times New Roman" w:hAnsi="Times New Roman"/>
          <w:b/>
          <w:bCs/>
          <w:i/>
          <w:iCs/>
          <w:color w:val="000000"/>
          <w:sz w:val="24"/>
          <w:szCs w:val="24"/>
        </w:rPr>
        <w:t>6.3.1. Mieszanka mineralno-asfaltowa</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Na etapie oceny jakości wbudowywanej mieszanki mineralno-asfaltowej podaje się wartości dopuszczalne i tolerancje, w których uwzględnia się: rozrzut występujący przy pobieraniu próbek, dokładność metod badań oraz odstępstwa uwarunkowane metodą pracy. Z tego względu występują różnice w stosunku do zapisów dotyczących Zakładowej kontroli produkcji mieszanki mi</w:t>
      </w:r>
      <w:r w:rsidR="00D160A1">
        <w:rPr>
          <w:rFonts w:ascii="Times New Roman" w:hAnsi="Times New Roman"/>
          <w:color w:val="000000"/>
          <w:sz w:val="24"/>
          <w:szCs w:val="24"/>
        </w:rPr>
        <w:t>neralno-asfaltowej wg p. 5.3.1.4</w:t>
      </w:r>
      <w:r w:rsidRPr="004E2DDA">
        <w:rPr>
          <w:rFonts w:ascii="Times New Roman" w:hAnsi="Times New Roman"/>
          <w:color w:val="000000"/>
          <w:sz w:val="24"/>
          <w:szCs w:val="24"/>
        </w:rPr>
        <w:t xml:space="preserve">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Do oceny jakości mieszanki mineralno-asfaltowej mogą posłużyć wyniki badań wykonanych w ramach Zakładowej kontroli produkcji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lastRenderedPageBreak/>
        <w:t xml:space="preserve">Właściwości materiałów budowlanych należy określać dla każdej warstwy technologicznej, a metody badań powinny być zgodne z niniejszymi wymaganiami technicznymi.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Jeżeli nie ma danych o materiałach budowlanych przeznaczonych do użycia oraz składzie mieszanki mineralno-asfaltowej, to wyniki badań kontrolnych powinny być zgodne z wymaganiami określonymi w p. 5.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Właściwości materiałów należy oceniać na podstawie badań pobranych próbek mieszanki mineralno-asfaltowej przed wbudowaniem (wbudowanie oznacza wykonanie warstwy asfaltowej). Wyjątkowo dopuszcza się badania próbek pobranych z wykonanej warstwy asfaltowej. </w:t>
      </w:r>
    </w:p>
    <w:p w:rsidR="00C318BA" w:rsidRPr="004E2DDA"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4E2DDA"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6.3.1.1. Właściwości lepiszcza odzyskanego </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 xml:space="preserve">Temperatura mięknienia lepiszcza (asfaltu lub </w:t>
      </w:r>
      <w:proofErr w:type="spellStart"/>
      <w:r w:rsidRPr="004E2DDA">
        <w:rPr>
          <w:rFonts w:ascii="Times New Roman" w:hAnsi="Times New Roman"/>
          <w:color w:val="000000"/>
          <w:sz w:val="24"/>
          <w:szCs w:val="24"/>
        </w:rPr>
        <w:t>polimeroasfaltu</w:t>
      </w:r>
      <w:proofErr w:type="spellEnd"/>
      <w:r w:rsidRPr="004E2DDA">
        <w:rPr>
          <w:rFonts w:ascii="Times New Roman" w:hAnsi="Times New Roman"/>
          <w:color w:val="000000"/>
          <w:sz w:val="24"/>
          <w:szCs w:val="24"/>
        </w:rPr>
        <w:t xml:space="preserve">) wyekstrahowanego z mieszanki mineralno-asfaltowej nie powinna przekroczyć wartości dopuszczalnych podanych w tablicy 20.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Jeżeli w składzie mieszanki mineralno-asfaltowej jest granulat asfaltowy, to temperatura mięknienia wyekstrahowanego lepiszcza nie może przekroczyć temperatury mięknienia </w:t>
      </w:r>
      <w:proofErr w:type="spellStart"/>
      <w:r w:rsidRPr="004E2DDA">
        <w:rPr>
          <w:rFonts w:ascii="Times New Roman" w:hAnsi="Times New Roman"/>
          <w:color w:val="000000"/>
          <w:sz w:val="24"/>
          <w:szCs w:val="24"/>
        </w:rPr>
        <w:t>T</w:t>
      </w:r>
      <w:r>
        <w:rPr>
          <w:rFonts w:ascii="Times New Roman" w:hAnsi="Times New Roman"/>
          <w:color w:val="000000"/>
          <w:sz w:val="24"/>
          <w:szCs w:val="24"/>
          <w:vertAlign w:val="subscript"/>
        </w:rPr>
        <w:t>R&amp;Bmix</w:t>
      </w:r>
      <w:proofErr w:type="spellEnd"/>
      <w:r w:rsidRPr="004E2DDA">
        <w:rPr>
          <w:rFonts w:ascii="Times New Roman" w:hAnsi="Times New Roman"/>
          <w:color w:val="000000"/>
          <w:sz w:val="24"/>
          <w:szCs w:val="24"/>
        </w:rPr>
        <w:t xml:space="preserve">, podanej w dokumentacji projektowej, o więcej niż 8°C. </w:t>
      </w:r>
    </w:p>
    <w:p w:rsidR="00C318BA" w:rsidRDefault="00C318BA" w:rsidP="00C318BA">
      <w:pPr>
        <w:widowControl w:val="0"/>
        <w:autoSpaceDE w:val="0"/>
        <w:autoSpaceDN w:val="0"/>
        <w:adjustRightInd w:val="0"/>
        <w:spacing w:before="22" w:after="0" w:line="240" w:lineRule="auto"/>
        <w:jc w:val="both"/>
        <w:rPr>
          <w:rFonts w:ascii="Times New Roman" w:hAnsi="Times New Roman"/>
          <w:color w:val="000000"/>
          <w:sz w:val="24"/>
          <w:szCs w:val="24"/>
        </w:rPr>
      </w:pPr>
      <w:r w:rsidRPr="004E2DDA">
        <w:rPr>
          <w:rFonts w:ascii="Times New Roman" w:hAnsi="Times New Roman"/>
          <w:color w:val="000000"/>
          <w:sz w:val="24"/>
          <w:szCs w:val="24"/>
        </w:rPr>
        <w:t xml:space="preserve">W wypadku mieszanki mineralno-asfaltowej z </w:t>
      </w:r>
      <w:proofErr w:type="spellStart"/>
      <w:r w:rsidRPr="004E2DDA">
        <w:rPr>
          <w:rFonts w:ascii="Times New Roman" w:hAnsi="Times New Roman"/>
          <w:color w:val="000000"/>
          <w:sz w:val="24"/>
          <w:szCs w:val="24"/>
        </w:rPr>
        <w:t>polimeroasfaltem</w:t>
      </w:r>
      <w:proofErr w:type="spellEnd"/>
      <w:r w:rsidRPr="004E2DDA">
        <w:rPr>
          <w:rFonts w:ascii="Times New Roman" w:hAnsi="Times New Roman"/>
          <w:color w:val="000000"/>
          <w:sz w:val="24"/>
          <w:szCs w:val="24"/>
        </w:rPr>
        <w:t xml:space="preserve"> nawrót sprężysty lepiszcza wyekstrahowanego powinien wynieść, co najmniej 40%. Dotyczy to również przedwczesnego zerwania tego lepiszcza w badaniu, przy czym należy wtedy podać wartość wydłużenia. </w:t>
      </w:r>
    </w:p>
    <w:p w:rsidR="00C318BA" w:rsidRDefault="00C318BA" w:rsidP="00C318BA">
      <w:pPr>
        <w:widowControl w:val="0"/>
        <w:autoSpaceDE w:val="0"/>
        <w:autoSpaceDN w:val="0"/>
        <w:adjustRightInd w:val="0"/>
        <w:spacing w:before="38" w:after="0" w:line="240" w:lineRule="auto"/>
        <w:jc w:val="both"/>
        <w:rPr>
          <w:rFonts w:ascii="Times New Roman" w:hAnsi="Times New Roman"/>
          <w:color w:val="000000"/>
          <w:sz w:val="24"/>
          <w:szCs w:val="24"/>
        </w:rPr>
      </w:pPr>
    </w:p>
    <w:p w:rsidR="00C318BA" w:rsidRDefault="00C318BA" w:rsidP="00C318BA">
      <w:pPr>
        <w:widowControl w:val="0"/>
        <w:autoSpaceDE w:val="0"/>
        <w:autoSpaceDN w:val="0"/>
        <w:adjustRightInd w:val="0"/>
        <w:spacing w:before="38" w:after="0" w:line="240" w:lineRule="auto"/>
        <w:jc w:val="both"/>
        <w:rPr>
          <w:rFonts w:ascii="Times New Roman" w:hAnsi="Times New Roman"/>
          <w:b/>
          <w:bCs/>
          <w:color w:val="000000"/>
          <w:sz w:val="24"/>
          <w:szCs w:val="24"/>
        </w:rPr>
      </w:pPr>
      <w:r w:rsidRPr="004E2DDA">
        <w:rPr>
          <w:rFonts w:ascii="Times New Roman" w:hAnsi="Times New Roman"/>
          <w:b/>
          <w:bCs/>
          <w:color w:val="000000"/>
          <w:sz w:val="24"/>
          <w:szCs w:val="24"/>
        </w:rPr>
        <w:t>Tablica 20.  Najwyższa temperatura mięknienia wyekstrahowanego asfaltu</w:t>
      </w:r>
    </w:p>
    <w:p w:rsidR="00C318BA" w:rsidRDefault="00C318BA" w:rsidP="00C318BA">
      <w:pPr>
        <w:widowControl w:val="0"/>
        <w:autoSpaceDE w:val="0"/>
        <w:autoSpaceDN w:val="0"/>
        <w:adjustRightInd w:val="0"/>
        <w:spacing w:before="38" w:after="0" w:line="240" w:lineRule="auto"/>
        <w:jc w:val="both"/>
        <w:rPr>
          <w:rFonts w:ascii="Times New Roman" w:hAnsi="Times New Roman"/>
          <w:b/>
          <w:bCs/>
          <w:color w:val="000000"/>
          <w:sz w:val="24"/>
          <w:szCs w:val="24"/>
        </w:rPr>
      </w:pPr>
    </w:p>
    <w:tbl>
      <w:tblPr>
        <w:tblStyle w:val="Tabela-Siatka"/>
        <w:tblW w:w="0" w:type="auto"/>
        <w:tblLook w:val="04A0" w:firstRow="1" w:lastRow="0" w:firstColumn="1" w:lastColumn="0" w:noHBand="0" w:noVBand="1"/>
      </w:tblPr>
      <w:tblGrid>
        <w:gridCol w:w="2964"/>
        <w:gridCol w:w="2964"/>
      </w:tblGrid>
      <w:tr w:rsidR="00C318BA" w:rsidTr="00C318BA">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Rodzaj asfaltu</w:t>
            </w:r>
          </w:p>
        </w:tc>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Temperatura mięknienia</w:t>
            </w:r>
          </w:p>
        </w:tc>
      </w:tr>
      <w:tr w:rsidR="00C318BA" w:rsidTr="00C318BA">
        <w:tc>
          <w:tcPr>
            <w:tcW w:w="5928" w:type="dxa"/>
            <w:gridSpan w:val="2"/>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Asfalt drogowy</w:t>
            </w:r>
          </w:p>
        </w:tc>
      </w:tr>
      <w:tr w:rsidR="00C318BA" w:rsidTr="00C318BA">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50/70</w:t>
            </w:r>
          </w:p>
        </w:tc>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63</w:t>
            </w:r>
          </w:p>
        </w:tc>
      </w:tr>
    </w:tbl>
    <w:p w:rsidR="00C318BA" w:rsidRPr="004E2DDA" w:rsidRDefault="00C318BA" w:rsidP="00C318BA">
      <w:pPr>
        <w:widowControl w:val="0"/>
        <w:autoSpaceDE w:val="0"/>
        <w:autoSpaceDN w:val="0"/>
        <w:adjustRightInd w:val="0"/>
        <w:spacing w:before="38" w:after="0" w:line="240" w:lineRule="auto"/>
        <w:jc w:val="both"/>
        <w:rPr>
          <w:rFonts w:ascii="Times New Roman" w:hAnsi="Times New Roman"/>
          <w:sz w:val="24"/>
          <w:szCs w:val="24"/>
        </w:rPr>
      </w:pPr>
    </w:p>
    <w:p w:rsidR="00C318BA" w:rsidRPr="004E2DDA"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4E2DDA"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6.3.1.2.  Zawartość lepiszcza </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Zawartość lepiszcza rozpuszczalnego z każdej próbki pobranej z luźnej mieszanki mineralno-asfaltowej, nie może odbiegać od wartości projektowanej. Pojedynczy wynik i średnia z wielu oznaczeń w zakresie zawartości rozpuszczalnego lepiszcza z każdej próbki pobranej z mieszanki mineralno-asfaltowej lub wyjątkowo z warstwy nie może odbiegać od wartości projektowanej, z uwzględnieni</w:t>
      </w:r>
      <w:r>
        <w:rPr>
          <w:rFonts w:ascii="Times New Roman" w:hAnsi="Times New Roman"/>
          <w:color w:val="000000"/>
          <w:sz w:val="24"/>
          <w:szCs w:val="24"/>
        </w:rPr>
        <w:t>em dopuszczalnej odchyłki wg tablicy 21</w:t>
      </w:r>
      <w:r w:rsidRPr="004E2DDA">
        <w:rPr>
          <w:rFonts w:ascii="Times New Roman" w:hAnsi="Times New Roman"/>
          <w:color w:val="000000"/>
          <w:sz w:val="24"/>
          <w:szCs w:val="24"/>
        </w:rPr>
        <w:t xml:space="preserve">. </w:t>
      </w:r>
    </w:p>
    <w:p w:rsidR="00C318BA" w:rsidRPr="004E2DDA"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4E2DDA" w:rsidRDefault="00C318BA" w:rsidP="00C318BA">
      <w:pPr>
        <w:widowControl w:val="0"/>
        <w:autoSpaceDE w:val="0"/>
        <w:autoSpaceDN w:val="0"/>
        <w:adjustRightInd w:val="0"/>
        <w:spacing w:before="34"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6.3.1.3. Uziarnienie </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 xml:space="preserve">Uziarnienie każdej próbki pobranej z luźnej mieszanki mineralno-asfaltowej nie może odbiegać od wartości projektowanej, w zależności od liczby wyników badań z danego odcinka budowy.  </w:t>
      </w:r>
    </w:p>
    <w:p w:rsidR="00C318BA" w:rsidRDefault="00C318BA" w:rsidP="00C318BA">
      <w:pPr>
        <w:pStyle w:val="Tekstpodstawowy"/>
        <w:tabs>
          <w:tab w:val="clear" w:pos="1"/>
          <w:tab w:val="left" w:pos="1276"/>
        </w:tabs>
        <w:ind w:left="1276" w:hanging="1276"/>
        <w:rPr>
          <w:rFonts w:ascii="Times New Roman" w:hAnsi="Times New Roman"/>
          <w:b/>
          <w:szCs w:val="24"/>
        </w:rPr>
      </w:pPr>
    </w:p>
    <w:p w:rsidR="00C318BA" w:rsidRDefault="00C318BA" w:rsidP="00C318BA">
      <w:pPr>
        <w:pStyle w:val="Tekstpodstawowy"/>
        <w:tabs>
          <w:tab w:val="clear" w:pos="1"/>
          <w:tab w:val="left" w:pos="1276"/>
        </w:tabs>
        <w:ind w:left="1276" w:hanging="1276"/>
        <w:rPr>
          <w:rFonts w:ascii="Times New Roman" w:hAnsi="Times New Roman"/>
          <w:b/>
          <w:szCs w:val="24"/>
        </w:rPr>
      </w:pPr>
    </w:p>
    <w:p w:rsidR="00C318BA" w:rsidRPr="00C318BA" w:rsidRDefault="00C318BA" w:rsidP="00C318BA">
      <w:pPr>
        <w:pStyle w:val="Tekstpodstawowy"/>
        <w:tabs>
          <w:tab w:val="clear" w:pos="1"/>
          <w:tab w:val="left" w:pos="1276"/>
        </w:tabs>
        <w:ind w:left="1276" w:hanging="1276"/>
        <w:rPr>
          <w:rFonts w:ascii="Times New Roman" w:hAnsi="Times New Roman"/>
          <w:b/>
          <w:iCs/>
          <w:szCs w:val="24"/>
        </w:rPr>
      </w:pPr>
      <w:r w:rsidRPr="00C318BA">
        <w:rPr>
          <w:rFonts w:ascii="Times New Roman" w:hAnsi="Times New Roman"/>
          <w:b/>
          <w:szCs w:val="24"/>
        </w:rPr>
        <w:t>Tablica 21 Dopuszczalne odchyłki dotyczące pojedynczego wyniku badania  i średniej arytmetycznej wyników</w:t>
      </w:r>
      <w:r w:rsidRPr="00C318BA">
        <w:rPr>
          <w:rFonts w:ascii="Times New Roman" w:hAnsi="Times New Roman"/>
          <w:b/>
          <w:iCs/>
          <w:szCs w:val="24"/>
        </w:rPr>
        <w:t xml:space="preserve"> zawartości składników mieszanki mineralno-asfaltowej względem składu zaprojektowanego [</w:t>
      </w:r>
      <w:r w:rsidRPr="00C318BA">
        <w:rPr>
          <w:rFonts w:ascii="Times New Roman" w:hAnsi="Times New Roman"/>
          <w:b/>
          <w:szCs w:val="24"/>
        </w:rPr>
        <w:t xml:space="preserve">% </w:t>
      </w:r>
      <w:r w:rsidRPr="00C318BA">
        <w:rPr>
          <w:rFonts w:ascii="Times New Roman" w:hAnsi="Times New Roman"/>
          <w:b/>
          <w:iCs/>
          <w:szCs w:val="24"/>
        </w:rPr>
        <w:t>m/m]</w:t>
      </w:r>
    </w:p>
    <w:tbl>
      <w:tblPr>
        <w:tblW w:w="9480" w:type="dxa"/>
        <w:tblInd w:w="40" w:type="dxa"/>
        <w:tblLayout w:type="fixed"/>
        <w:tblCellMar>
          <w:left w:w="40" w:type="dxa"/>
          <w:right w:w="40" w:type="dxa"/>
        </w:tblCellMar>
        <w:tblLook w:val="0000" w:firstRow="0" w:lastRow="0" w:firstColumn="0" w:lastColumn="0" w:noHBand="0" w:noVBand="0"/>
      </w:tblPr>
      <w:tblGrid>
        <w:gridCol w:w="3461"/>
        <w:gridCol w:w="1699"/>
        <w:gridCol w:w="1603"/>
        <w:gridCol w:w="1392"/>
        <w:gridCol w:w="1325"/>
      </w:tblGrid>
      <w:tr w:rsidR="00C318BA" w:rsidRPr="00C318BA" w:rsidTr="00C318BA">
        <w:trPr>
          <w:trHeight w:hRule="exact" w:val="446"/>
        </w:trPr>
        <w:tc>
          <w:tcPr>
            <w:tcW w:w="3461" w:type="dxa"/>
            <w:vMerge w:val="restart"/>
            <w:tcBorders>
              <w:top w:val="single" w:sz="6" w:space="0" w:color="auto"/>
              <w:left w:val="single" w:sz="6" w:space="0" w:color="auto"/>
              <w:bottom w:val="nil"/>
              <w:right w:val="single" w:sz="6" w:space="0" w:color="auto"/>
            </w:tcBorders>
          </w:tcPr>
          <w:p w:rsidR="00C318BA" w:rsidRPr="00C318BA" w:rsidRDefault="00C318BA" w:rsidP="00C318BA">
            <w:pPr>
              <w:pStyle w:val="Style8"/>
              <w:widowControl/>
              <w:spacing w:line="240" w:lineRule="auto"/>
              <w:ind w:left="850"/>
              <w:jc w:val="both"/>
              <w:rPr>
                <w:rStyle w:val="FontStyle63"/>
                <w:sz w:val="20"/>
                <w:szCs w:val="20"/>
              </w:rPr>
            </w:pPr>
            <w:r w:rsidRPr="00C318BA">
              <w:rPr>
                <w:rStyle w:val="FontStyle63"/>
                <w:sz w:val="20"/>
                <w:szCs w:val="20"/>
              </w:rPr>
              <w:t>Przechodzi przez sito</w:t>
            </w:r>
          </w:p>
        </w:tc>
        <w:tc>
          <w:tcPr>
            <w:tcW w:w="3302"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right="206"/>
              <w:jc w:val="center"/>
              <w:rPr>
                <w:rStyle w:val="FontStyle63"/>
                <w:sz w:val="20"/>
                <w:szCs w:val="20"/>
              </w:rPr>
            </w:pPr>
            <w:r w:rsidRPr="00C318BA">
              <w:rPr>
                <w:rStyle w:val="FontStyle63"/>
                <w:sz w:val="20"/>
                <w:szCs w:val="20"/>
              </w:rPr>
              <w:t>Dopuszczalne odchylenie pojedynczej próbki od założonego składu [%]</w:t>
            </w:r>
          </w:p>
        </w:tc>
        <w:tc>
          <w:tcPr>
            <w:tcW w:w="2717"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left="38" w:right="43"/>
              <w:jc w:val="center"/>
              <w:rPr>
                <w:rStyle w:val="FontStyle63"/>
                <w:sz w:val="20"/>
                <w:szCs w:val="20"/>
              </w:rPr>
            </w:pPr>
            <w:r w:rsidRPr="00C318BA">
              <w:rPr>
                <w:rStyle w:val="FontStyle63"/>
                <w:sz w:val="20"/>
                <w:szCs w:val="20"/>
              </w:rPr>
              <w:t>Dopuszczalne odchylenie średnie od założonego składu [%]</w:t>
            </w:r>
          </w:p>
        </w:tc>
      </w:tr>
      <w:tr w:rsidR="00C318BA" w:rsidRPr="00C318BA" w:rsidTr="00C318BA">
        <w:trPr>
          <w:trHeight w:hRule="exact" w:val="494"/>
        </w:trPr>
        <w:tc>
          <w:tcPr>
            <w:tcW w:w="3461" w:type="dxa"/>
            <w:vMerge/>
            <w:tcBorders>
              <w:top w:val="nil"/>
              <w:left w:val="single" w:sz="6" w:space="0" w:color="auto"/>
              <w:bottom w:val="single" w:sz="6" w:space="0" w:color="auto"/>
              <w:right w:val="single" w:sz="6" w:space="0" w:color="auto"/>
            </w:tcBorders>
          </w:tcPr>
          <w:p w:rsidR="00C318BA" w:rsidRPr="00C318BA" w:rsidRDefault="00C318BA" w:rsidP="00C318BA">
            <w:pPr>
              <w:spacing w:after="0"/>
              <w:jc w:val="both"/>
              <w:rPr>
                <w:rStyle w:val="FontStyle63"/>
                <w:sz w:val="20"/>
                <w:szCs w:val="20"/>
              </w:rPr>
            </w:pPr>
          </w:p>
          <w:p w:rsidR="00C318BA" w:rsidRPr="00C318BA" w:rsidRDefault="00C318BA" w:rsidP="00C318BA">
            <w:pPr>
              <w:spacing w:after="0"/>
              <w:jc w:val="both"/>
              <w:rPr>
                <w:rStyle w:val="FontStyle63"/>
                <w:sz w:val="20"/>
                <w:szCs w:val="20"/>
              </w:rPr>
            </w:pP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82" w:right="173"/>
              <w:rPr>
                <w:rStyle w:val="FontStyle63"/>
                <w:sz w:val="20"/>
                <w:szCs w:val="20"/>
              </w:rPr>
            </w:pPr>
            <w:r w:rsidRPr="00C318BA">
              <w:rPr>
                <w:rStyle w:val="FontStyle63"/>
                <w:sz w:val="20"/>
                <w:szCs w:val="20"/>
              </w:rPr>
              <w:t>Mieszanki drobnoziarniste</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97" w:right="182"/>
              <w:rPr>
                <w:rStyle w:val="FontStyle63"/>
                <w:sz w:val="20"/>
                <w:szCs w:val="20"/>
              </w:rPr>
            </w:pPr>
            <w:r w:rsidRPr="00C318BA">
              <w:rPr>
                <w:rStyle w:val="FontStyle63"/>
                <w:sz w:val="20"/>
                <w:szCs w:val="20"/>
              </w:rPr>
              <w:t>Mieszanki gruboziarniste</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29" w:right="19"/>
              <w:rPr>
                <w:rStyle w:val="FontStyle63"/>
                <w:sz w:val="20"/>
                <w:szCs w:val="20"/>
              </w:rPr>
            </w:pPr>
            <w:r w:rsidRPr="00C318BA">
              <w:rPr>
                <w:rStyle w:val="FontStyle63"/>
                <w:sz w:val="20"/>
                <w:szCs w:val="20"/>
              </w:rPr>
              <w:t>Mieszanki drobnoziarniste</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53" w:right="48"/>
              <w:rPr>
                <w:rStyle w:val="FontStyle63"/>
                <w:sz w:val="20"/>
                <w:szCs w:val="20"/>
              </w:rPr>
            </w:pPr>
            <w:r w:rsidRPr="00C318BA">
              <w:rPr>
                <w:rStyle w:val="FontStyle63"/>
                <w:sz w:val="20"/>
                <w:szCs w:val="20"/>
              </w:rPr>
              <w:t>Mieszanki gruboziarniste</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7"/>
              <w:widowControl/>
              <w:jc w:val="both"/>
              <w:rPr>
                <w:rStyle w:val="FontStyle58"/>
                <w:sz w:val="20"/>
                <w:szCs w:val="20"/>
              </w:rPr>
            </w:pPr>
            <w:r w:rsidRPr="00C318BA">
              <w:rPr>
                <w:rStyle w:val="FontStyle58"/>
                <w:sz w:val="20"/>
                <w:szCs w:val="20"/>
              </w:rPr>
              <w:t>D</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-8-+5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r>
      <w:tr w:rsidR="00C318BA" w:rsidRPr="00C318BA" w:rsidTr="00C318BA">
        <w:trPr>
          <w:trHeight w:hRule="exact" w:val="442"/>
        </w:trPr>
        <w:tc>
          <w:tcPr>
            <w:tcW w:w="3461" w:type="dxa"/>
            <w:tcBorders>
              <w:top w:val="single" w:sz="6" w:space="0" w:color="auto"/>
              <w:left w:val="single" w:sz="6" w:space="0" w:color="auto"/>
              <w:bottom w:val="single" w:sz="6" w:space="0" w:color="auto"/>
              <w:right w:val="single" w:sz="6" w:space="0" w:color="auto"/>
            </w:tcBorders>
            <w:vAlign w:val="center"/>
          </w:tcPr>
          <w:p w:rsidR="00C318BA" w:rsidRPr="00C318BA" w:rsidRDefault="00C318BA" w:rsidP="00C318BA">
            <w:pPr>
              <w:pStyle w:val="Style8"/>
              <w:widowControl/>
              <w:ind w:right="312" w:hanging="10"/>
              <w:jc w:val="both"/>
              <w:rPr>
                <w:rStyle w:val="FontStyle63"/>
                <w:sz w:val="20"/>
                <w:szCs w:val="20"/>
              </w:rPr>
            </w:pPr>
            <w:r w:rsidRPr="00C318BA">
              <w:rPr>
                <w:rStyle w:val="FontStyle58"/>
                <w:sz w:val="20"/>
                <w:szCs w:val="20"/>
              </w:rPr>
              <w:t xml:space="preserve">D/2 </w:t>
            </w:r>
            <w:r w:rsidRPr="00C318BA">
              <w:rPr>
                <w:rStyle w:val="FontStyle63"/>
                <w:sz w:val="20"/>
                <w:szCs w:val="20"/>
              </w:rPr>
              <w:t>lub sito charakterystyczne dla kruszywa grubego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lastRenderedPageBreak/>
              <w:t>2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±6</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Sito charakterystyczne dla kruszywa drobnego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0,063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±1</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C318BA">
        <w:trPr>
          <w:trHeight w:hRule="exact" w:val="230"/>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Zawartość rozpuszczalnego lepiszcza</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±0,6</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r>
    </w:tbl>
    <w:p w:rsidR="00C318BA" w:rsidRPr="004E2DDA" w:rsidRDefault="00C318BA" w:rsidP="00C318BA">
      <w:pPr>
        <w:widowControl w:val="0"/>
        <w:autoSpaceDE w:val="0"/>
        <w:autoSpaceDN w:val="0"/>
        <w:adjustRightInd w:val="0"/>
        <w:spacing w:before="22"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6.3.1.4. Zawartość wolnych przestrzeni </w:t>
      </w:r>
    </w:p>
    <w:p w:rsidR="00C318BA" w:rsidRDefault="00C318BA" w:rsidP="00C318BA">
      <w:pPr>
        <w:widowControl w:val="0"/>
        <w:autoSpaceDE w:val="0"/>
        <w:autoSpaceDN w:val="0"/>
        <w:adjustRightInd w:val="0"/>
        <w:spacing w:before="50" w:after="0" w:line="240" w:lineRule="auto"/>
        <w:jc w:val="both"/>
        <w:rPr>
          <w:rFonts w:ascii="Times New Roman" w:hAnsi="Times New Roman"/>
          <w:color w:val="000000"/>
          <w:sz w:val="24"/>
          <w:szCs w:val="24"/>
        </w:rPr>
      </w:pPr>
      <w:r w:rsidRPr="004E2DDA">
        <w:rPr>
          <w:rFonts w:ascii="Times New Roman" w:hAnsi="Times New Roman"/>
          <w:color w:val="000000"/>
          <w:sz w:val="24"/>
          <w:szCs w:val="24"/>
        </w:rPr>
        <w:t xml:space="preserve">Zawartość wolnych przestrzeni w próbce Marshalla pobranej z mieszanki mineralno-asfaltowej lub wyjątkowo powtórnie rozgrzanej próbki pobranej z nawierzchni, nie może wykroczyć poza wartości dopuszczalne podane w p. 5.2 i 5.3. o więcej niż: </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 xml:space="preserve">-  AC W  2,0%(v/v),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b/>
          <w:bCs/>
          <w:i/>
          <w:iCs/>
          <w:color w:val="000000"/>
          <w:sz w:val="24"/>
          <w:szCs w:val="24"/>
        </w:rPr>
        <w:t xml:space="preserve">6.3.2.  Warstwa asfaltowa </w:t>
      </w:r>
    </w:p>
    <w:p w:rsidR="00C318BA" w:rsidRPr="00132E98" w:rsidRDefault="00C318BA" w:rsidP="00C318BA">
      <w:pPr>
        <w:widowControl w:val="0"/>
        <w:autoSpaceDE w:val="0"/>
        <w:autoSpaceDN w:val="0"/>
        <w:adjustRightInd w:val="0"/>
        <w:spacing w:before="53"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6.3.2.1. Grubość warstwy oraz ilość materiału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Grubość wykonanej warstwy lub warstw oraz ilość wbudowanego materiału na określoną powierzchnię (dotyczy przede wszystkim cienkich warstw) mogą odbiegać od projekt</w:t>
      </w:r>
      <w:r>
        <w:rPr>
          <w:rFonts w:ascii="Times New Roman" w:hAnsi="Times New Roman"/>
          <w:color w:val="000000"/>
          <w:sz w:val="24"/>
          <w:szCs w:val="24"/>
        </w:rPr>
        <w:t>u o wartości podane w tablicy 22</w:t>
      </w:r>
      <w:r w:rsidRPr="00132E98">
        <w:rPr>
          <w:rFonts w:ascii="Times New Roman" w:hAnsi="Times New Roman"/>
          <w:color w:val="000000"/>
          <w:sz w:val="24"/>
          <w:szCs w:val="24"/>
        </w:rPr>
        <w:t xml:space="preserve">.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 wypadku określania ilości materiału na powierzchnię i średniej wartości grubości warstwy z reguły należy przyjąć za podstawę cały odcinek budowy.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Inspektor Nadzoru ma prawo sprawdzać odcinki częściowe. Odcinek częściowy powinien zawierać, co najmniej jedną dzienną działkę roboczą. Do odcinka częściowego obowiązują te same wymagania jak do odcinka budowy.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Za grubość warstwy lub warstw przyjmuje się średnią arytmetyczną wszystkich pojedynczych oznaczeń grubości warstwy lub warstw na całym odcinku budowy lub odcinku częściowym.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Niezależnie od średniej grubości, w wypadku warstwy podbudowy grubość określona w pojedynczym oznaczeniu nie może być mniejsza od projektowanej grubości o więcej niż 2,5 cm, a całej nawierzchni asfaltowej o więcej niż 3,0 cm. </w:t>
      </w:r>
    </w:p>
    <w:p w:rsidR="00C318BA" w:rsidRPr="00132E98" w:rsidRDefault="00C318BA" w:rsidP="00C318BA">
      <w:pPr>
        <w:widowControl w:val="0"/>
        <w:autoSpaceDE w:val="0"/>
        <w:autoSpaceDN w:val="0"/>
        <w:adjustRightInd w:val="0"/>
        <w:spacing w:after="0" w:line="240" w:lineRule="auto"/>
        <w:rPr>
          <w:rFonts w:ascii="Times New Roman" w:hAnsi="Times New Roman"/>
          <w:sz w:val="24"/>
          <w:szCs w:val="24"/>
        </w:rPr>
      </w:pPr>
    </w:p>
    <w:p w:rsidR="00C318BA" w:rsidRPr="00132E98" w:rsidRDefault="00C318BA" w:rsidP="00C318BA">
      <w:pPr>
        <w:widowControl w:val="0"/>
        <w:autoSpaceDE w:val="0"/>
        <w:autoSpaceDN w:val="0"/>
        <w:adjustRightInd w:val="0"/>
        <w:spacing w:before="22" w:after="0" w:line="240" w:lineRule="auto"/>
        <w:rPr>
          <w:rFonts w:ascii="Times New Roman" w:hAnsi="Times New Roman"/>
          <w:color w:val="000000"/>
          <w:sz w:val="24"/>
          <w:szCs w:val="24"/>
        </w:rPr>
      </w:pPr>
      <w:r w:rsidRPr="00132E98">
        <w:rPr>
          <w:rFonts w:ascii="Times New Roman" w:hAnsi="Times New Roman"/>
          <w:b/>
          <w:bCs/>
          <w:color w:val="000000"/>
          <w:sz w:val="24"/>
          <w:szCs w:val="24"/>
        </w:rPr>
        <w:t>Tablica 2</w:t>
      </w:r>
      <w:r>
        <w:rPr>
          <w:rFonts w:ascii="Times New Roman" w:hAnsi="Times New Roman"/>
          <w:b/>
          <w:bCs/>
          <w:color w:val="000000"/>
          <w:sz w:val="24"/>
          <w:szCs w:val="24"/>
        </w:rPr>
        <w:t>2</w:t>
      </w:r>
      <w:r w:rsidRPr="00132E98">
        <w:rPr>
          <w:rFonts w:ascii="Times New Roman" w:hAnsi="Times New Roman"/>
          <w:b/>
          <w:bCs/>
          <w:color w:val="000000"/>
          <w:sz w:val="24"/>
          <w:szCs w:val="24"/>
        </w:rPr>
        <w:t>. Dopuszczalne odchyłki grubości warstwy oraz ilości materiału na określonej powierzchni, [%]</w:t>
      </w:r>
    </w:p>
    <w:tbl>
      <w:tblPr>
        <w:tblW w:w="9124" w:type="dxa"/>
        <w:tblInd w:w="40" w:type="dxa"/>
        <w:tblLayout w:type="fixed"/>
        <w:tblCellMar>
          <w:left w:w="40" w:type="dxa"/>
          <w:right w:w="40" w:type="dxa"/>
        </w:tblCellMar>
        <w:tblLook w:val="0000" w:firstRow="0" w:lastRow="0" w:firstColumn="0" w:lastColumn="0" w:noHBand="0" w:noVBand="0"/>
      </w:tblPr>
      <w:tblGrid>
        <w:gridCol w:w="5103"/>
        <w:gridCol w:w="926"/>
        <w:gridCol w:w="1002"/>
        <w:gridCol w:w="931"/>
        <w:gridCol w:w="605"/>
        <w:gridCol w:w="557"/>
      </w:tblGrid>
      <w:tr w:rsidR="00C318BA" w:rsidRPr="00C318BA" w:rsidTr="00C318BA">
        <w:trPr>
          <w:trHeight w:hRule="exact" w:val="235"/>
        </w:trPr>
        <w:tc>
          <w:tcPr>
            <w:tcW w:w="5103" w:type="dxa"/>
            <w:tcBorders>
              <w:top w:val="single" w:sz="6" w:space="0" w:color="auto"/>
              <w:left w:val="single" w:sz="6" w:space="0" w:color="auto"/>
              <w:bottom w:val="nil"/>
              <w:right w:val="single" w:sz="6" w:space="0" w:color="auto"/>
            </w:tcBorders>
          </w:tcPr>
          <w:p w:rsidR="00C318BA" w:rsidRPr="00C318BA" w:rsidRDefault="00C318BA" w:rsidP="00C318BA">
            <w:pPr>
              <w:pStyle w:val="Style2"/>
              <w:widowControl/>
              <w:ind w:left="1814"/>
              <w:jc w:val="both"/>
              <w:rPr>
                <w:rStyle w:val="FontStyle63"/>
                <w:sz w:val="20"/>
                <w:szCs w:val="20"/>
              </w:rPr>
            </w:pPr>
            <w:r w:rsidRPr="00C318BA">
              <w:rPr>
                <w:rStyle w:val="FontStyle63"/>
                <w:sz w:val="20"/>
                <w:szCs w:val="20"/>
              </w:rPr>
              <w:t>Warunki oceny</w:t>
            </w:r>
          </w:p>
        </w:tc>
        <w:tc>
          <w:tcPr>
            <w:tcW w:w="4021" w:type="dxa"/>
            <w:gridSpan w:val="5"/>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590"/>
              <w:jc w:val="both"/>
              <w:rPr>
                <w:rStyle w:val="FontStyle63"/>
                <w:sz w:val="20"/>
                <w:szCs w:val="20"/>
              </w:rPr>
            </w:pPr>
            <w:r w:rsidRPr="00C318BA">
              <w:rPr>
                <w:rStyle w:val="FontStyle63"/>
                <w:sz w:val="20"/>
                <w:szCs w:val="20"/>
              </w:rPr>
              <w:t>Warstwa asfaltowa lub pakiet warstw</w:t>
            </w:r>
          </w:p>
        </w:tc>
      </w:tr>
      <w:tr w:rsidR="00C318BA" w:rsidRPr="00C318BA" w:rsidTr="00C318BA">
        <w:trPr>
          <w:trHeight w:hRule="exact" w:val="221"/>
        </w:trPr>
        <w:tc>
          <w:tcPr>
            <w:tcW w:w="5103" w:type="dxa"/>
            <w:tcBorders>
              <w:top w:val="nil"/>
              <w:left w:val="single" w:sz="6" w:space="0" w:color="auto"/>
              <w:bottom w:val="single" w:sz="6" w:space="0" w:color="auto"/>
              <w:right w:val="single" w:sz="6" w:space="0" w:color="auto"/>
            </w:tcBorders>
          </w:tcPr>
          <w:p w:rsidR="00C318BA" w:rsidRPr="00C318BA" w:rsidRDefault="00C318BA" w:rsidP="00C318BA">
            <w:pPr>
              <w:jc w:val="both"/>
              <w:rPr>
                <w:rStyle w:val="FontStyle63"/>
                <w:sz w:val="20"/>
                <w:szCs w:val="20"/>
              </w:rPr>
            </w:pPr>
          </w:p>
          <w:p w:rsidR="00C318BA" w:rsidRPr="00C318BA" w:rsidRDefault="00C318BA" w:rsidP="00C318BA">
            <w:pPr>
              <w:jc w:val="both"/>
              <w:rPr>
                <w:rStyle w:val="FontStyle63"/>
                <w:sz w:val="20"/>
                <w:szCs w:val="20"/>
              </w:rPr>
            </w:pPr>
          </w:p>
        </w:tc>
        <w:tc>
          <w:tcPr>
            <w:tcW w:w="926"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 xml:space="preserve">S </w:t>
            </w:r>
            <w:r w:rsidRPr="00C318BA">
              <w:rPr>
                <w:rStyle w:val="FontStyle63"/>
                <w:sz w:val="20"/>
                <w:szCs w:val="20"/>
                <w:vertAlign w:val="superscript"/>
              </w:rPr>
              <w:t>a)</w:t>
            </w:r>
            <w:r w:rsidRPr="00C318BA">
              <w:rPr>
                <w:rStyle w:val="FontStyle63"/>
                <w:sz w:val="20"/>
                <w:szCs w:val="20"/>
              </w:rPr>
              <w:t>+W + P</w:t>
            </w:r>
          </w:p>
        </w:tc>
        <w:tc>
          <w:tcPr>
            <w:tcW w:w="100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 xml:space="preserve">S </w:t>
            </w:r>
            <w:r w:rsidRPr="00C318BA">
              <w:rPr>
                <w:rStyle w:val="FontStyle63"/>
                <w:sz w:val="20"/>
                <w:szCs w:val="20"/>
                <w:vertAlign w:val="superscript"/>
              </w:rPr>
              <w:t>a)</w:t>
            </w:r>
            <w:r w:rsidRPr="00C318BA">
              <w:rPr>
                <w:rStyle w:val="FontStyle63"/>
                <w:sz w:val="20"/>
                <w:szCs w:val="20"/>
              </w:rPr>
              <w:t xml:space="preserve"> + P</w:t>
            </w:r>
          </w:p>
        </w:tc>
        <w:tc>
          <w:tcPr>
            <w:tcW w:w="93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 xml:space="preserve">S </w:t>
            </w:r>
            <w:r w:rsidRPr="00C318BA">
              <w:rPr>
                <w:rStyle w:val="FontStyle63"/>
                <w:sz w:val="20"/>
                <w:szCs w:val="20"/>
                <w:vertAlign w:val="superscript"/>
              </w:rPr>
              <w:t>a)</w:t>
            </w:r>
            <w:r w:rsidRPr="00C318BA">
              <w:rPr>
                <w:rStyle w:val="FontStyle63"/>
                <w:sz w:val="20"/>
                <w:szCs w:val="20"/>
              </w:rPr>
              <w:t xml:space="preserve"> + W</w:t>
            </w: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82"/>
              <w:jc w:val="both"/>
              <w:rPr>
                <w:rStyle w:val="FontStyle63"/>
                <w:sz w:val="20"/>
                <w:szCs w:val="20"/>
                <w:vertAlign w:val="superscript"/>
              </w:rPr>
            </w:pPr>
            <w:r w:rsidRPr="00C318BA">
              <w:rPr>
                <w:rStyle w:val="FontStyle63"/>
                <w:sz w:val="20"/>
                <w:szCs w:val="20"/>
              </w:rPr>
              <w:t xml:space="preserve">S </w:t>
            </w:r>
            <w:r w:rsidRPr="00C318BA">
              <w:rPr>
                <w:rStyle w:val="FontStyle63"/>
                <w:sz w:val="20"/>
                <w:szCs w:val="20"/>
                <w:vertAlign w:val="superscript"/>
              </w:rPr>
              <w:t>a)</w:t>
            </w: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P</w:t>
            </w:r>
          </w:p>
        </w:tc>
      </w:tr>
      <w:tr w:rsidR="00C318BA" w:rsidRPr="00C318BA" w:rsidTr="00C318BA">
        <w:trPr>
          <w:trHeight w:hRule="exact" w:val="221"/>
        </w:trPr>
        <w:tc>
          <w:tcPr>
            <w:tcW w:w="51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562"/>
              <w:jc w:val="both"/>
              <w:rPr>
                <w:rStyle w:val="FontStyle63"/>
                <w:sz w:val="20"/>
                <w:szCs w:val="20"/>
              </w:rPr>
            </w:pPr>
            <w:r w:rsidRPr="00C318BA">
              <w:rPr>
                <w:rStyle w:val="FontStyle63"/>
                <w:sz w:val="20"/>
                <w:szCs w:val="20"/>
              </w:rPr>
              <w:t>A - Średnia z wielu oznaczeń grubości oraz ilości</w:t>
            </w:r>
          </w:p>
        </w:tc>
        <w:tc>
          <w:tcPr>
            <w:tcW w:w="926"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100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93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r>
      <w:tr w:rsidR="00C318BA" w:rsidRPr="00C318BA" w:rsidTr="00C318BA">
        <w:trPr>
          <w:trHeight w:hRule="exact" w:val="1839"/>
        </w:trPr>
        <w:tc>
          <w:tcPr>
            <w:tcW w:w="51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9"/>
              <w:widowControl/>
              <w:tabs>
                <w:tab w:val="left" w:pos="230"/>
              </w:tabs>
              <w:ind w:firstLine="0"/>
              <w:jc w:val="both"/>
              <w:rPr>
                <w:rStyle w:val="FontStyle63"/>
                <w:sz w:val="20"/>
                <w:szCs w:val="20"/>
                <w:vertAlign w:val="superscript"/>
              </w:rPr>
            </w:pPr>
            <w:r w:rsidRPr="00C318BA">
              <w:rPr>
                <w:rStyle w:val="FontStyle63"/>
                <w:sz w:val="20"/>
                <w:szCs w:val="20"/>
              </w:rPr>
              <w:t>1.</w:t>
            </w:r>
            <w:r w:rsidRPr="00C318BA">
              <w:rPr>
                <w:rStyle w:val="FontStyle63"/>
                <w:sz w:val="20"/>
                <w:szCs w:val="20"/>
              </w:rPr>
              <w:tab/>
              <w:t>- duży odcinek budowy, powierzchnia większa niż 6000 m</w:t>
            </w:r>
            <w:r w:rsidRPr="00C318BA">
              <w:rPr>
                <w:rStyle w:val="FontStyle63"/>
                <w:sz w:val="20"/>
                <w:szCs w:val="20"/>
                <w:vertAlign w:val="superscript"/>
              </w:rPr>
              <w:t>2</w:t>
            </w:r>
          </w:p>
          <w:p w:rsidR="00C318BA" w:rsidRPr="00C318BA" w:rsidRDefault="00C318BA" w:rsidP="00C318BA">
            <w:pPr>
              <w:pStyle w:val="Style2"/>
              <w:widowControl/>
              <w:spacing w:line="211" w:lineRule="exact"/>
              <w:jc w:val="both"/>
              <w:rPr>
                <w:rStyle w:val="FontStyle63"/>
                <w:sz w:val="20"/>
                <w:szCs w:val="20"/>
              </w:rPr>
            </w:pPr>
            <w:r w:rsidRPr="00C318BA">
              <w:rPr>
                <w:rStyle w:val="FontStyle63"/>
                <w:sz w:val="20"/>
                <w:szCs w:val="20"/>
              </w:rPr>
              <w:t>lub</w:t>
            </w:r>
          </w:p>
          <w:p w:rsidR="00C318BA" w:rsidRPr="00C318BA" w:rsidRDefault="00C318BA" w:rsidP="00C318BA">
            <w:pPr>
              <w:pStyle w:val="Style29"/>
              <w:widowControl/>
              <w:tabs>
                <w:tab w:val="left" w:pos="317"/>
              </w:tabs>
              <w:ind w:left="34" w:right="144"/>
              <w:jc w:val="both"/>
              <w:rPr>
                <w:rStyle w:val="FontStyle63"/>
                <w:sz w:val="20"/>
                <w:szCs w:val="20"/>
              </w:rPr>
            </w:pPr>
            <w:r w:rsidRPr="00C318BA">
              <w:rPr>
                <w:rStyle w:val="FontStyle63"/>
                <w:sz w:val="20"/>
                <w:szCs w:val="20"/>
              </w:rPr>
              <w:t>-</w:t>
            </w:r>
            <w:r w:rsidRPr="00C318BA">
              <w:rPr>
                <w:rStyle w:val="FontStyle63"/>
                <w:sz w:val="20"/>
                <w:szCs w:val="20"/>
              </w:rPr>
              <w:tab/>
              <w:t>droga ograniczona krawężnikami, powierzchnia większa niż 1000 m</w:t>
            </w:r>
            <w:r w:rsidRPr="00C318BA">
              <w:rPr>
                <w:rStyle w:val="FontStyle63"/>
                <w:sz w:val="20"/>
                <w:szCs w:val="20"/>
                <w:vertAlign w:val="superscript"/>
              </w:rPr>
              <w:t>2</w:t>
            </w:r>
            <w:r w:rsidRPr="00C318BA">
              <w:rPr>
                <w:rStyle w:val="FontStyle63"/>
                <w:sz w:val="20"/>
                <w:szCs w:val="20"/>
              </w:rPr>
              <w:t xml:space="preserve"> lub</w:t>
            </w:r>
          </w:p>
          <w:p w:rsidR="00C318BA" w:rsidRPr="00C318BA" w:rsidRDefault="00C318BA" w:rsidP="00C318BA">
            <w:pPr>
              <w:pStyle w:val="Style29"/>
              <w:widowControl/>
              <w:tabs>
                <w:tab w:val="left" w:pos="317"/>
              </w:tabs>
              <w:ind w:firstLine="0"/>
              <w:jc w:val="both"/>
              <w:rPr>
                <w:rStyle w:val="FontStyle63"/>
                <w:sz w:val="20"/>
                <w:szCs w:val="20"/>
                <w:vertAlign w:val="superscript"/>
              </w:rPr>
            </w:pPr>
            <w:r w:rsidRPr="00C318BA">
              <w:rPr>
                <w:rStyle w:val="FontStyle63"/>
                <w:sz w:val="20"/>
                <w:szCs w:val="20"/>
              </w:rPr>
              <w:t>-</w:t>
            </w:r>
            <w:r w:rsidRPr="00C318BA">
              <w:rPr>
                <w:rStyle w:val="FontStyle63"/>
                <w:sz w:val="20"/>
                <w:szCs w:val="20"/>
              </w:rPr>
              <w:tab/>
              <w:t>warstwa ścieralna, ilość większa niż 50 kg/m</w:t>
            </w:r>
            <w:r w:rsidRPr="00C318BA">
              <w:rPr>
                <w:rStyle w:val="FontStyle63"/>
                <w:sz w:val="20"/>
                <w:szCs w:val="20"/>
                <w:vertAlign w:val="superscript"/>
              </w:rPr>
              <w:t>2</w:t>
            </w:r>
          </w:p>
          <w:p w:rsidR="00C318BA" w:rsidRPr="00C318BA" w:rsidRDefault="00C318BA" w:rsidP="00C318BA">
            <w:pPr>
              <w:pStyle w:val="Style29"/>
              <w:widowControl/>
              <w:tabs>
                <w:tab w:val="left" w:pos="230"/>
              </w:tabs>
              <w:ind w:firstLine="0"/>
              <w:jc w:val="both"/>
              <w:rPr>
                <w:rStyle w:val="FontStyle63"/>
                <w:sz w:val="20"/>
                <w:szCs w:val="20"/>
              </w:rPr>
            </w:pPr>
            <w:r w:rsidRPr="00C318BA">
              <w:rPr>
                <w:rStyle w:val="FontStyle63"/>
                <w:sz w:val="20"/>
                <w:szCs w:val="20"/>
              </w:rPr>
              <w:t>2.</w:t>
            </w:r>
            <w:r w:rsidRPr="00C318BA">
              <w:rPr>
                <w:rStyle w:val="FontStyle63"/>
                <w:sz w:val="20"/>
                <w:szCs w:val="20"/>
              </w:rPr>
              <w:tab/>
              <w:t>- mały odcinek budowy lub</w:t>
            </w:r>
          </w:p>
          <w:p w:rsidR="00C318BA" w:rsidRPr="00C318BA" w:rsidRDefault="00C318BA" w:rsidP="00C318BA">
            <w:pPr>
              <w:pStyle w:val="Style29"/>
              <w:widowControl/>
              <w:tabs>
                <w:tab w:val="left" w:pos="317"/>
              </w:tabs>
              <w:ind w:firstLine="0"/>
              <w:jc w:val="both"/>
              <w:rPr>
                <w:rStyle w:val="FontStyle63"/>
                <w:sz w:val="20"/>
                <w:szCs w:val="20"/>
                <w:vertAlign w:val="superscript"/>
              </w:rPr>
            </w:pPr>
            <w:r w:rsidRPr="00C318BA">
              <w:rPr>
                <w:rStyle w:val="FontStyle63"/>
                <w:sz w:val="20"/>
                <w:szCs w:val="20"/>
              </w:rPr>
              <w:t>-</w:t>
            </w:r>
            <w:r w:rsidRPr="00C318BA">
              <w:rPr>
                <w:rStyle w:val="FontStyle63"/>
                <w:sz w:val="20"/>
                <w:szCs w:val="20"/>
              </w:rPr>
              <w:tab/>
              <w:t>warstwa ścieralna, ilość większa niż 50 kg/m</w:t>
            </w:r>
            <w:r w:rsidRPr="00C318BA">
              <w:rPr>
                <w:rStyle w:val="FontStyle63"/>
                <w:sz w:val="20"/>
                <w:szCs w:val="20"/>
                <w:vertAlign w:val="superscript"/>
              </w:rPr>
              <w:t>2</w:t>
            </w:r>
          </w:p>
        </w:tc>
        <w:tc>
          <w:tcPr>
            <w:tcW w:w="926" w:type="dxa"/>
            <w:tcBorders>
              <w:top w:val="single" w:sz="6" w:space="0" w:color="auto"/>
              <w:left w:val="single" w:sz="6" w:space="0" w:color="auto"/>
              <w:bottom w:val="single" w:sz="6" w:space="0" w:color="auto"/>
              <w:right w:val="single" w:sz="4" w:space="0" w:color="auto"/>
            </w:tcBorders>
          </w:tcPr>
          <w:p w:rsidR="00C318BA" w:rsidRPr="00C318BA" w:rsidRDefault="00C318BA" w:rsidP="00C318BA">
            <w:pPr>
              <w:pStyle w:val="Style2"/>
              <w:widowControl/>
              <w:rPr>
                <w:rStyle w:val="FontStyle63"/>
                <w:sz w:val="20"/>
                <w:szCs w:val="20"/>
              </w:rPr>
            </w:pPr>
            <w:r w:rsidRPr="00C318BA">
              <w:rPr>
                <w:rStyle w:val="FontStyle63"/>
                <w:sz w:val="20"/>
                <w:szCs w:val="20"/>
              </w:rPr>
              <w:t>-</w:t>
            </w:r>
          </w:p>
        </w:tc>
        <w:tc>
          <w:tcPr>
            <w:tcW w:w="1002" w:type="dxa"/>
            <w:tcBorders>
              <w:top w:val="single" w:sz="6" w:space="0" w:color="auto"/>
              <w:left w:val="single" w:sz="4" w:space="0" w:color="auto"/>
              <w:bottom w:val="single" w:sz="6" w:space="0" w:color="auto"/>
              <w:right w:val="single" w:sz="6" w:space="0" w:color="auto"/>
            </w:tcBorders>
          </w:tcPr>
          <w:p w:rsidR="00C318BA" w:rsidRPr="00C318BA" w:rsidRDefault="00C318BA" w:rsidP="00C318BA">
            <w:pPr>
              <w:pStyle w:val="Style2"/>
              <w:widowControl/>
              <w:rPr>
                <w:rStyle w:val="FontStyle63"/>
                <w:sz w:val="20"/>
                <w:szCs w:val="20"/>
              </w:rPr>
            </w:pPr>
            <w:r w:rsidRPr="00C318BA">
              <w:rPr>
                <w:rStyle w:val="FontStyle63"/>
                <w:sz w:val="20"/>
                <w:szCs w:val="20"/>
              </w:rPr>
              <w:t>-</w:t>
            </w:r>
          </w:p>
        </w:tc>
        <w:tc>
          <w:tcPr>
            <w:tcW w:w="93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spacing w:line="845" w:lineRule="exact"/>
              <w:ind w:left="226" w:right="216"/>
              <w:rPr>
                <w:rStyle w:val="FontStyle63"/>
                <w:sz w:val="20"/>
                <w:szCs w:val="20"/>
              </w:rPr>
            </w:pPr>
            <w:r w:rsidRPr="00C318BA">
              <w:rPr>
                <w:rStyle w:val="FontStyle63"/>
                <w:sz w:val="20"/>
                <w:szCs w:val="20"/>
              </w:rPr>
              <w:t>≤10 ≤15</w:t>
            </w: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42"/>
              <w:widowControl/>
              <w:ind w:left="67" w:right="53" w:hanging="5"/>
              <w:jc w:val="center"/>
              <w:rPr>
                <w:rStyle w:val="FontStyle63"/>
                <w:sz w:val="20"/>
                <w:szCs w:val="20"/>
              </w:rPr>
            </w:pPr>
            <w:r w:rsidRPr="00C318BA">
              <w:rPr>
                <w:rStyle w:val="FontStyle63"/>
                <w:sz w:val="20"/>
                <w:szCs w:val="20"/>
              </w:rPr>
              <w:t>≤10 ≤15</w:t>
            </w: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spacing w:line="845" w:lineRule="exact"/>
              <w:ind w:left="38" w:right="38"/>
              <w:rPr>
                <w:rStyle w:val="FontStyle63"/>
                <w:sz w:val="20"/>
                <w:szCs w:val="20"/>
              </w:rPr>
            </w:pPr>
            <w:r w:rsidRPr="00C318BA">
              <w:rPr>
                <w:rStyle w:val="FontStyle63"/>
                <w:sz w:val="20"/>
                <w:szCs w:val="20"/>
              </w:rPr>
              <w:t>≤10 ≤15</w:t>
            </w:r>
          </w:p>
        </w:tc>
      </w:tr>
      <w:tr w:rsidR="00C318BA" w:rsidRPr="00C318BA" w:rsidTr="00C318BA">
        <w:trPr>
          <w:trHeight w:hRule="exact" w:val="288"/>
        </w:trPr>
        <w:tc>
          <w:tcPr>
            <w:tcW w:w="5103" w:type="dxa"/>
            <w:tcBorders>
              <w:top w:val="single" w:sz="6" w:space="0" w:color="auto"/>
              <w:left w:val="single" w:sz="4" w:space="0" w:color="auto"/>
              <w:bottom w:val="single" w:sz="6" w:space="0" w:color="auto"/>
              <w:right w:val="single" w:sz="4"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B - Pojedyncze oznaczenie grubości</w:t>
            </w:r>
          </w:p>
        </w:tc>
        <w:tc>
          <w:tcPr>
            <w:tcW w:w="926" w:type="dxa"/>
            <w:tcBorders>
              <w:top w:val="single" w:sz="6" w:space="0" w:color="auto"/>
              <w:left w:val="single" w:sz="4" w:space="0" w:color="auto"/>
              <w:bottom w:val="single" w:sz="6" w:space="0" w:color="auto"/>
              <w:right w:val="single" w:sz="4" w:space="0" w:color="auto"/>
            </w:tcBorders>
          </w:tcPr>
          <w:p w:rsidR="00C318BA" w:rsidRPr="00C318BA" w:rsidRDefault="00C318BA" w:rsidP="00C318BA">
            <w:pPr>
              <w:pStyle w:val="Style2"/>
              <w:rPr>
                <w:rStyle w:val="FontStyle63"/>
                <w:sz w:val="20"/>
                <w:szCs w:val="20"/>
              </w:rPr>
            </w:pPr>
            <w:r w:rsidRPr="00C318BA">
              <w:rPr>
                <w:rStyle w:val="FontStyle63"/>
                <w:sz w:val="20"/>
                <w:szCs w:val="20"/>
              </w:rPr>
              <w:t>≤10</w:t>
            </w:r>
          </w:p>
        </w:tc>
        <w:tc>
          <w:tcPr>
            <w:tcW w:w="1002" w:type="dxa"/>
            <w:tcBorders>
              <w:top w:val="single" w:sz="6" w:space="0" w:color="auto"/>
              <w:left w:val="single" w:sz="4" w:space="0" w:color="auto"/>
              <w:bottom w:val="single" w:sz="6" w:space="0" w:color="auto"/>
              <w:right w:val="single" w:sz="4" w:space="0" w:color="auto"/>
            </w:tcBorders>
          </w:tcPr>
          <w:p w:rsidR="00C318BA" w:rsidRPr="00C318BA" w:rsidRDefault="00C318BA" w:rsidP="00C318BA">
            <w:pPr>
              <w:pStyle w:val="Style2"/>
              <w:rPr>
                <w:rStyle w:val="FontStyle63"/>
                <w:sz w:val="20"/>
                <w:szCs w:val="20"/>
              </w:rPr>
            </w:pPr>
            <w:r w:rsidRPr="00C318BA">
              <w:rPr>
                <w:rStyle w:val="FontStyle63"/>
                <w:sz w:val="20"/>
                <w:szCs w:val="20"/>
              </w:rPr>
              <w:t>≤15</w:t>
            </w:r>
          </w:p>
        </w:tc>
        <w:tc>
          <w:tcPr>
            <w:tcW w:w="931" w:type="dxa"/>
            <w:tcBorders>
              <w:top w:val="single" w:sz="6" w:space="0" w:color="auto"/>
              <w:left w:val="single" w:sz="4" w:space="0" w:color="auto"/>
              <w:bottom w:val="single" w:sz="6" w:space="0" w:color="auto"/>
              <w:right w:val="single" w:sz="6" w:space="0" w:color="auto"/>
            </w:tcBorders>
          </w:tcPr>
          <w:p w:rsidR="00C318BA" w:rsidRPr="00C318BA" w:rsidRDefault="00C318BA" w:rsidP="00C318BA">
            <w:pPr>
              <w:pStyle w:val="Style2"/>
              <w:rPr>
                <w:rStyle w:val="FontStyle63"/>
                <w:sz w:val="20"/>
                <w:szCs w:val="20"/>
              </w:rPr>
            </w:pPr>
            <w:r w:rsidRPr="00C318BA">
              <w:rPr>
                <w:rStyle w:val="FontStyle63"/>
                <w:sz w:val="20"/>
                <w:szCs w:val="20"/>
              </w:rPr>
              <w:t>≤15</w:t>
            </w: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58"/>
              <w:rPr>
                <w:rStyle w:val="FontStyle63"/>
                <w:sz w:val="20"/>
                <w:szCs w:val="20"/>
              </w:rPr>
            </w:pPr>
            <w:r w:rsidRPr="00C318BA">
              <w:rPr>
                <w:rStyle w:val="FontStyle63"/>
                <w:sz w:val="20"/>
                <w:szCs w:val="20"/>
              </w:rPr>
              <w:t>≤25</w:t>
            </w: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rPr>
                <w:rStyle w:val="FontStyle63"/>
                <w:sz w:val="20"/>
                <w:szCs w:val="20"/>
              </w:rPr>
            </w:pPr>
            <w:r w:rsidRPr="00C318BA">
              <w:rPr>
                <w:rStyle w:val="FontStyle63"/>
                <w:sz w:val="20"/>
                <w:szCs w:val="20"/>
              </w:rPr>
              <w:t>-</w:t>
            </w:r>
          </w:p>
        </w:tc>
      </w:tr>
    </w:tbl>
    <w:p w:rsidR="00C318BA" w:rsidRDefault="00C318BA" w:rsidP="00C318BA">
      <w:pPr>
        <w:pStyle w:val="Style17"/>
        <w:widowControl/>
        <w:spacing w:line="211" w:lineRule="exact"/>
        <w:rPr>
          <w:rStyle w:val="FontStyle63"/>
        </w:rPr>
      </w:pPr>
      <w:r>
        <w:rPr>
          <w:rStyle w:val="FontStyle63"/>
        </w:rPr>
        <w:t>z wiersza B odpowiednio obowiązuje; w pierwszym etapie budowy do górnej warstwy nawierzchni obowiązuje wartość 25%, a do łącznej grubości warstw etapu 1-</w:t>
      </w:r>
      <w:r>
        <w:rPr>
          <w:rStyle w:val="FontStyle63"/>
          <w:vertAlign w:val="superscript"/>
        </w:rPr>
        <w:t>A</w:t>
      </w:r>
      <w:r>
        <w:rPr>
          <w:rStyle w:val="FontStyle63"/>
        </w:rPr>
        <w:t>15%</w:t>
      </w:r>
    </w:p>
    <w:p w:rsidR="00C318BA" w:rsidRPr="00132E98" w:rsidRDefault="00C318BA" w:rsidP="00C318BA">
      <w:pPr>
        <w:widowControl w:val="0"/>
        <w:autoSpaceDE w:val="0"/>
        <w:autoSpaceDN w:val="0"/>
        <w:adjustRightInd w:val="0"/>
        <w:spacing w:before="22"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6.3.2.2. Zagęszczenie warstwy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Zagęszczenie wykonanej warstwy, wyrażone wskaźnikiem zagęszczenia oraz zawartością wolnych przestrzeni, nie może przekroczyć wartości dopuszczalnych podanych w tablicy 18. Dotyczy to każdego pojedynczego oznaczenia danej właściwości.</w:t>
      </w:r>
    </w:p>
    <w:p w:rsidR="00C318BA" w:rsidRPr="00132E98" w:rsidRDefault="00C318BA" w:rsidP="00C318BA">
      <w:pPr>
        <w:widowControl w:val="0"/>
        <w:autoSpaceDE w:val="0"/>
        <w:autoSpaceDN w:val="0"/>
        <w:adjustRightInd w:val="0"/>
        <w:spacing w:before="14" w:after="0" w:line="240" w:lineRule="auto"/>
        <w:rPr>
          <w:rFonts w:ascii="Times New Roman" w:hAnsi="Times New Roman"/>
          <w:sz w:val="24"/>
          <w:szCs w:val="24"/>
        </w:rPr>
      </w:pPr>
      <w:r w:rsidRPr="00132E98">
        <w:rPr>
          <w:rFonts w:ascii="Times New Roman" w:hAnsi="Times New Roman"/>
          <w:b/>
          <w:bCs/>
          <w:color w:val="000000"/>
          <w:sz w:val="24"/>
          <w:szCs w:val="24"/>
        </w:rPr>
        <w:t xml:space="preserve">6.4.  Badania laboratoryjne </w:t>
      </w:r>
    </w:p>
    <w:p w:rsidR="00C318BA" w:rsidRPr="00132E98" w:rsidRDefault="00C318BA" w:rsidP="00C318BA">
      <w:pPr>
        <w:widowControl w:val="0"/>
        <w:autoSpaceDE w:val="0"/>
        <w:autoSpaceDN w:val="0"/>
        <w:adjustRightInd w:val="0"/>
        <w:spacing w:before="50" w:after="0" w:line="240" w:lineRule="auto"/>
        <w:rPr>
          <w:rFonts w:ascii="Times New Roman" w:hAnsi="Times New Roman"/>
          <w:sz w:val="24"/>
          <w:szCs w:val="24"/>
        </w:rPr>
      </w:pPr>
      <w:r w:rsidRPr="00132E98">
        <w:rPr>
          <w:rFonts w:ascii="Times New Roman" w:hAnsi="Times New Roman"/>
          <w:color w:val="000000"/>
          <w:sz w:val="24"/>
          <w:szCs w:val="24"/>
        </w:rPr>
        <w:t xml:space="preserve">Badania dzielą się na: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badania Wykonawcy (w ramach własnego nadzoru),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badania kontrolne (w ramach nadzoru). </w:t>
      </w:r>
    </w:p>
    <w:p w:rsidR="00C318BA" w:rsidRPr="00132E98" w:rsidRDefault="00C318BA" w:rsidP="00C318BA">
      <w:pPr>
        <w:widowControl w:val="0"/>
        <w:autoSpaceDE w:val="0"/>
        <w:autoSpaceDN w:val="0"/>
        <w:adjustRightInd w:val="0"/>
        <w:spacing w:before="55" w:after="0" w:line="240" w:lineRule="auto"/>
        <w:rPr>
          <w:rFonts w:ascii="Times New Roman" w:hAnsi="Times New Roman"/>
          <w:sz w:val="24"/>
          <w:szCs w:val="24"/>
        </w:rPr>
      </w:pPr>
      <w:r w:rsidRPr="00132E98">
        <w:rPr>
          <w:rFonts w:ascii="Times New Roman" w:hAnsi="Times New Roman"/>
          <w:color w:val="000000"/>
          <w:sz w:val="24"/>
          <w:szCs w:val="24"/>
        </w:rPr>
        <w:t xml:space="preserve">Badania kontrolne dzielą się na: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dodatkowe,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arbitrażowe. </w:t>
      </w:r>
    </w:p>
    <w:p w:rsidR="00C318BA" w:rsidRPr="00132E98" w:rsidRDefault="00C318BA" w:rsidP="00C318BA">
      <w:pPr>
        <w:widowControl w:val="0"/>
        <w:autoSpaceDE w:val="0"/>
        <w:autoSpaceDN w:val="0"/>
        <w:adjustRightInd w:val="0"/>
        <w:spacing w:before="55" w:after="0" w:line="240" w:lineRule="auto"/>
        <w:rPr>
          <w:rFonts w:ascii="Times New Roman" w:hAnsi="Times New Roman"/>
          <w:sz w:val="24"/>
          <w:szCs w:val="24"/>
        </w:rPr>
      </w:pPr>
      <w:r w:rsidRPr="00132E98">
        <w:rPr>
          <w:rFonts w:ascii="Times New Roman" w:hAnsi="Times New Roman"/>
          <w:color w:val="000000"/>
          <w:sz w:val="24"/>
          <w:szCs w:val="24"/>
        </w:rPr>
        <w:lastRenderedPageBreak/>
        <w:t xml:space="preserve">Jeżeli to konieczne, badania obejmują: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pobranie próbek,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zapakowanie próbek do wysyłki, </w:t>
      </w:r>
    </w:p>
    <w:p w:rsidR="00C318BA" w:rsidRPr="00132E98" w:rsidRDefault="00C318BA" w:rsidP="00C318BA">
      <w:pPr>
        <w:widowControl w:val="0"/>
        <w:autoSpaceDE w:val="0"/>
        <w:autoSpaceDN w:val="0"/>
        <w:adjustRightInd w:val="0"/>
        <w:spacing w:before="55" w:after="0" w:line="240" w:lineRule="auto"/>
        <w:ind w:left="360"/>
        <w:jc w:val="both"/>
        <w:rPr>
          <w:rFonts w:ascii="Times New Roman" w:hAnsi="Times New Roman"/>
          <w:sz w:val="24"/>
          <w:szCs w:val="24"/>
        </w:rPr>
      </w:pPr>
      <w:r w:rsidRPr="00132E98">
        <w:rPr>
          <w:rFonts w:ascii="Times New Roman" w:hAnsi="Times New Roman"/>
          <w:color w:val="000000"/>
          <w:sz w:val="24"/>
          <w:szCs w:val="24"/>
        </w:rPr>
        <w:t xml:space="preserve">- transport próbek z miejsca pobrania do placówki wykonującej badania i sprawozdanie z badań. </w:t>
      </w:r>
    </w:p>
    <w:p w:rsidR="00C318BA" w:rsidRPr="00132E98" w:rsidRDefault="00C318BA" w:rsidP="00C318BA">
      <w:pPr>
        <w:widowControl w:val="0"/>
        <w:autoSpaceDE w:val="0"/>
        <w:autoSpaceDN w:val="0"/>
        <w:adjustRightInd w:val="0"/>
        <w:spacing w:before="55" w:after="0" w:line="240" w:lineRule="auto"/>
        <w:jc w:val="both"/>
        <w:rPr>
          <w:rFonts w:ascii="Times New Roman" w:hAnsi="Times New Roman"/>
          <w:sz w:val="24"/>
          <w:szCs w:val="24"/>
        </w:rPr>
      </w:pPr>
      <w:r w:rsidRPr="00132E98">
        <w:rPr>
          <w:rFonts w:ascii="Times New Roman" w:hAnsi="Times New Roman"/>
          <w:color w:val="000000"/>
          <w:sz w:val="24"/>
          <w:szCs w:val="24"/>
        </w:rPr>
        <w:t xml:space="preserve">Na żądanie Inspektora Nadzoru ze wszystkich materiałów przewidzianych do budowy (kruszywo grube i drobne, wypełniacz, lepiszcze itd.) należy przekazać próbki o odpowiedniej wielkości, a Inspektor Nadzoru będzie je przechowywał pod zamknięciem. Strony kontraktu potwierdzają uznanie próbek na piśmie, w protokole pobrania lub przekazania próbek. W ramach badań kontrolnych próbki te służą do oceny zgodności dostaw z warunkami kontraktu. </w:t>
      </w:r>
    </w:p>
    <w:p w:rsidR="00C318BA" w:rsidRPr="00132E98" w:rsidRDefault="00C318BA" w:rsidP="00C318BA">
      <w:pPr>
        <w:widowControl w:val="0"/>
        <w:autoSpaceDE w:val="0"/>
        <w:autoSpaceDN w:val="0"/>
        <w:adjustRightInd w:val="0"/>
        <w:spacing w:after="0" w:line="240" w:lineRule="auto"/>
        <w:rPr>
          <w:rFonts w:ascii="Times New Roman" w:hAnsi="Times New Roman"/>
          <w:sz w:val="24"/>
          <w:szCs w:val="24"/>
        </w:rPr>
      </w:pPr>
    </w:p>
    <w:p w:rsidR="00C318BA" w:rsidRPr="00132E98" w:rsidRDefault="00C318BA" w:rsidP="00C318BA">
      <w:pPr>
        <w:widowControl w:val="0"/>
        <w:autoSpaceDE w:val="0"/>
        <w:autoSpaceDN w:val="0"/>
        <w:adjustRightInd w:val="0"/>
        <w:spacing w:before="14"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6.4.1. Badania Wykonawcy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Wykonawca powinien wykonywać te badania podczas realizacji kontraktu z niezbędną starannością i w wymaganym zakresie. Wyniki należy zapisywać w protokołach. W razie stwierdzenia uchybień w stosunku do wymagań kontraktu, ich przyczyny należy niezwłocznie usunąć. Wyniki badań Wykonawcy należy przekazywać Inspektorowi Nadzoru na jego żądanie.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Inspektor Nadzoru może zdecydować o dokonaniu odbioru na podstawie badań Wykonawcy. W razie zastrzeżeń Inspektor Nadzoru może przeprowadzić badania kontrolne według p. 6.4.2. Zakres badań wykonawcy związany z wykonywaniem nawierzchni: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temperatury powietrza,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temperatury mieszanki mineralno-asfaltowej podczas wykonywania nawierzchni,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ocena wizualna mieszanki mineralno-asfaltowej,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ocena wizualna posypki,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wykaz ilości materiałów lub grubości wykonanych warstw,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spadku poprzecznego poszczególnych warstw asfaltowych,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równości poszczególnych warstw asfaltowych, </w:t>
      </w:r>
    </w:p>
    <w:p w:rsidR="00C318BA" w:rsidRPr="00132E98" w:rsidRDefault="00C318BA" w:rsidP="00C318BA">
      <w:pPr>
        <w:widowControl w:val="0"/>
        <w:autoSpaceDE w:val="0"/>
        <w:autoSpaceDN w:val="0"/>
        <w:adjustRightInd w:val="0"/>
        <w:spacing w:before="55" w:after="0" w:line="240" w:lineRule="auto"/>
        <w:ind w:left="360"/>
        <w:jc w:val="both"/>
        <w:rPr>
          <w:rFonts w:ascii="Times New Roman" w:hAnsi="Times New Roman"/>
          <w:sz w:val="24"/>
          <w:szCs w:val="24"/>
        </w:rPr>
      </w:pPr>
      <w:r w:rsidRPr="00132E98">
        <w:rPr>
          <w:rFonts w:ascii="Times New Roman" w:hAnsi="Times New Roman"/>
          <w:color w:val="000000"/>
          <w:sz w:val="24"/>
          <w:szCs w:val="24"/>
        </w:rPr>
        <w:t xml:space="preserve">- dokumentacja działań podejmowanych celem zapewnienia odpowiednich właściwości przeciw poślizgowych, </w:t>
      </w:r>
    </w:p>
    <w:p w:rsidR="00C318BA" w:rsidRPr="00132E98" w:rsidRDefault="00C318BA" w:rsidP="00C318BA">
      <w:pPr>
        <w:widowControl w:val="0"/>
        <w:autoSpaceDE w:val="0"/>
        <w:autoSpaceDN w:val="0"/>
        <w:adjustRightInd w:val="0"/>
        <w:spacing w:before="55" w:after="0" w:line="240" w:lineRule="auto"/>
        <w:ind w:left="358"/>
        <w:rPr>
          <w:rFonts w:ascii="Times New Roman" w:hAnsi="Times New Roman"/>
          <w:sz w:val="24"/>
          <w:szCs w:val="24"/>
        </w:rPr>
      </w:pPr>
      <w:r w:rsidRPr="00132E98">
        <w:rPr>
          <w:rFonts w:ascii="Times New Roman" w:hAnsi="Times New Roman"/>
          <w:color w:val="000000"/>
          <w:sz w:val="24"/>
          <w:szCs w:val="24"/>
        </w:rPr>
        <w:t xml:space="preserve">- pomiar parametrów geometrycznych poboczy,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ocena wizualna jednorodności powierzchni warstwy,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ocena wizualna jakości wykonania połączeń technologicznych. </w:t>
      </w:r>
    </w:p>
    <w:p w:rsidR="00C318BA" w:rsidRPr="00132E98" w:rsidRDefault="00C318BA" w:rsidP="00C318BA">
      <w:pPr>
        <w:widowControl w:val="0"/>
        <w:autoSpaceDE w:val="0"/>
        <w:autoSpaceDN w:val="0"/>
        <w:adjustRightInd w:val="0"/>
        <w:spacing w:after="0" w:line="240" w:lineRule="auto"/>
        <w:rPr>
          <w:rFonts w:ascii="Times New Roman" w:hAnsi="Times New Roman"/>
          <w:sz w:val="24"/>
          <w:szCs w:val="24"/>
        </w:rPr>
      </w:pPr>
    </w:p>
    <w:p w:rsidR="00C318BA" w:rsidRPr="00132E98" w:rsidRDefault="00C318BA" w:rsidP="00C318BA">
      <w:pPr>
        <w:widowControl w:val="0"/>
        <w:autoSpaceDE w:val="0"/>
        <w:autoSpaceDN w:val="0"/>
        <w:adjustRightInd w:val="0"/>
        <w:spacing w:before="14"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6.4.2. Badania kontrolne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 xml:space="preserve">Badania kontrolne są badaniami Inspektora Nadzoru,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Inspektor Nadzoru w obecności Wykonawcy. Badania odbywają się również wtedy, gdy Wykonawca zostanie w porę powiadomiony o ich terminie, jednak nie będzie przy nich obecny. Wykonawca może pobierać i pakować do wysyłki próbki do badań kontrolnych. Do wysłania próbek i przeprowadzenia badań kontrolnych jest upoważniony tylko  Inspektor Nadzoru lub uznana przez niego placówka badawcza. Inspektor Nadzoru decyduje o wyborze takiej placówki.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Wykaz i zakres badań kontrolnych podano poniżej.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i/>
          <w:iCs/>
          <w:color w:val="000000"/>
          <w:sz w:val="24"/>
          <w:szCs w:val="24"/>
        </w:rPr>
        <w:lastRenderedPageBreak/>
        <w:t xml:space="preserve">Kruszywa: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Z kruszywa należy pobrać i zbadać średnie próbki. Wielkość pobranej średniej próbki nie może być mniejsza niż: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wypełn</w:t>
      </w:r>
      <w:r>
        <w:rPr>
          <w:rFonts w:ascii="Times New Roman" w:hAnsi="Times New Roman"/>
          <w:color w:val="000000"/>
          <w:sz w:val="24"/>
          <w:szCs w:val="24"/>
        </w:rPr>
        <w:t>iacz</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132E98">
        <w:rPr>
          <w:rFonts w:ascii="Times New Roman" w:hAnsi="Times New Roman"/>
          <w:color w:val="000000"/>
          <w:sz w:val="24"/>
          <w:szCs w:val="24"/>
        </w:rPr>
        <w:t xml:space="preserve">2 kg,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  </w:t>
      </w:r>
      <w:r>
        <w:rPr>
          <w:rFonts w:ascii="Times New Roman" w:hAnsi="Times New Roman"/>
          <w:color w:val="000000"/>
          <w:sz w:val="24"/>
          <w:szCs w:val="24"/>
        </w:rPr>
        <w:t>kruszywa o uziarnieniu do 8 mm</w:t>
      </w:r>
      <w:r>
        <w:rPr>
          <w:rFonts w:ascii="Times New Roman" w:hAnsi="Times New Roman"/>
          <w:color w:val="000000"/>
          <w:sz w:val="24"/>
          <w:szCs w:val="24"/>
        </w:rPr>
        <w:tab/>
      </w:r>
      <w:r>
        <w:rPr>
          <w:rFonts w:ascii="Times New Roman" w:hAnsi="Times New Roman"/>
          <w:color w:val="000000"/>
          <w:sz w:val="24"/>
          <w:szCs w:val="24"/>
        </w:rPr>
        <w:tab/>
      </w:r>
      <w:r w:rsidRPr="00132E98">
        <w:rPr>
          <w:rFonts w:ascii="Times New Roman" w:hAnsi="Times New Roman"/>
          <w:color w:val="000000"/>
          <w:sz w:val="24"/>
          <w:szCs w:val="24"/>
        </w:rPr>
        <w:t xml:space="preserve">5 kg,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  kruszywa o uziarnieniu powyżej 8 mm </w:t>
      </w:r>
      <w:r>
        <w:rPr>
          <w:rFonts w:ascii="Times New Roman" w:hAnsi="Times New Roman"/>
          <w:color w:val="000000"/>
          <w:sz w:val="24"/>
          <w:szCs w:val="24"/>
        </w:rPr>
        <w:tab/>
      </w:r>
      <w:r w:rsidRPr="00132E98">
        <w:rPr>
          <w:rFonts w:ascii="Times New Roman" w:hAnsi="Times New Roman"/>
          <w:color w:val="000000"/>
          <w:sz w:val="24"/>
          <w:szCs w:val="24"/>
        </w:rPr>
        <w:t xml:space="preserve">15 kg.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i/>
          <w:iCs/>
          <w:color w:val="000000"/>
          <w:sz w:val="24"/>
          <w:szCs w:val="24"/>
        </w:rPr>
        <w:t xml:space="preserve">Lepiszcze: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Z lepiszcza należy pobrać próbkę średnią składającą się z 3 próbek częściowych po 2 kg. Z tego jedną próbkę częściową należy poddać badaniom.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Ponadto należy pobrać i zbadać kolejną próbkę, jeżeli zewnętrzny wygląd  (jednolitość, kolor, zapach, zanieczyszczenia) może budzić obawy.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i/>
          <w:iCs/>
          <w:color w:val="000000"/>
          <w:sz w:val="24"/>
          <w:szCs w:val="24"/>
        </w:rPr>
        <w:t xml:space="preserve">Mieszanka mineralno-asfaltów a i wykonana warstwa: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Rodzaj i zakres badań kontrolnych mieszanki mineralno-asfaltowej i wykonanej z </w:t>
      </w:r>
      <w:r w:rsidR="00D160A1">
        <w:rPr>
          <w:rFonts w:ascii="Times New Roman" w:hAnsi="Times New Roman"/>
          <w:color w:val="000000"/>
          <w:sz w:val="24"/>
          <w:szCs w:val="24"/>
        </w:rPr>
        <w:t>niej warstwy podano w tablicy 23</w:t>
      </w:r>
      <w:r w:rsidRPr="00132E98">
        <w:rPr>
          <w:rFonts w:ascii="Times New Roman" w:hAnsi="Times New Roman"/>
          <w:color w:val="000000"/>
          <w:sz w:val="24"/>
          <w:szCs w:val="24"/>
        </w:rPr>
        <w:t xml:space="preserve">. Nie zaleca się wykonywania odwiertów z warstw asfaltowych (zwłaszcza ochronnej) na obiektach mostowych. Do oceny poprawności zagęszczenia w takim wypadku może posłużyć ocena zagęszczenia warstwy na dojazdach do obiektu. </w:t>
      </w:r>
    </w:p>
    <w:p w:rsidR="00C318B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 badaniach kontrolnych można zastosować wspólne ustalenia dotyczące rozliczeń podane w p. 8.2. </w:t>
      </w:r>
    </w:p>
    <w:p w:rsidR="00C318BA" w:rsidRDefault="00C318BA"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r w:rsidRPr="00132E98">
        <w:rPr>
          <w:rFonts w:ascii="Times New Roman" w:hAnsi="Times New Roman"/>
          <w:b/>
          <w:bCs/>
          <w:color w:val="000000"/>
          <w:sz w:val="24"/>
          <w:szCs w:val="24"/>
        </w:rPr>
        <w:t>Tablica 2</w:t>
      </w:r>
      <w:r>
        <w:rPr>
          <w:rFonts w:ascii="Times New Roman" w:hAnsi="Times New Roman"/>
          <w:b/>
          <w:bCs/>
          <w:color w:val="000000"/>
          <w:sz w:val="24"/>
          <w:szCs w:val="24"/>
        </w:rPr>
        <w:t>3</w:t>
      </w:r>
      <w:r w:rsidRPr="00132E98">
        <w:rPr>
          <w:rFonts w:ascii="Times New Roman" w:hAnsi="Times New Roman"/>
          <w:b/>
          <w:bCs/>
          <w:color w:val="000000"/>
          <w:sz w:val="24"/>
          <w:szCs w:val="24"/>
        </w:rPr>
        <w:t xml:space="preserve">.  Rodzaj i zakres badań kontrolnych </w:t>
      </w:r>
    </w:p>
    <w:tbl>
      <w:tblPr>
        <w:tblW w:w="0" w:type="auto"/>
        <w:tblInd w:w="40" w:type="dxa"/>
        <w:tblLayout w:type="fixed"/>
        <w:tblCellMar>
          <w:left w:w="40" w:type="dxa"/>
          <w:right w:w="40" w:type="dxa"/>
        </w:tblCellMar>
        <w:tblLook w:val="0000" w:firstRow="0" w:lastRow="0" w:firstColumn="0" w:lastColumn="0" w:noHBand="0" w:noVBand="0"/>
      </w:tblPr>
      <w:tblGrid>
        <w:gridCol w:w="4421"/>
        <w:gridCol w:w="902"/>
        <w:gridCol w:w="998"/>
        <w:gridCol w:w="1805"/>
      </w:tblGrid>
      <w:tr w:rsidR="00C318BA" w:rsidRPr="00882F06" w:rsidTr="00C318BA">
        <w:trPr>
          <w:trHeight w:hRule="exact" w:val="312"/>
        </w:trPr>
        <w:tc>
          <w:tcPr>
            <w:tcW w:w="4421" w:type="dxa"/>
            <w:vMerge w:val="restart"/>
            <w:tcBorders>
              <w:top w:val="single" w:sz="6" w:space="0" w:color="auto"/>
              <w:left w:val="single" w:sz="6" w:space="0" w:color="auto"/>
              <w:bottom w:val="nil"/>
              <w:right w:val="single" w:sz="6" w:space="0" w:color="auto"/>
            </w:tcBorders>
          </w:tcPr>
          <w:p w:rsidR="00C318BA" w:rsidRPr="00882F06" w:rsidRDefault="00C318BA" w:rsidP="00C318BA">
            <w:pPr>
              <w:pStyle w:val="Style8"/>
              <w:widowControl/>
              <w:spacing w:line="240" w:lineRule="auto"/>
              <w:ind w:left="1589"/>
              <w:jc w:val="both"/>
              <w:rPr>
                <w:rStyle w:val="FontStyle63"/>
                <w:sz w:val="20"/>
                <w:szCs w:val="20"/>
              </w:rPr>
            </w:pPr>
            <w:r w:rsidRPr="00882F06">
              <w:rPr>
                <w:rStyle w:val="FontStyle63"/>
                <w:sz w:val="20"/>
                <w:szCs w:val="20"/>
              </w:rPr>
              <w:t>Rodzaj badań</w:t>
            </w:r>
          </w:p>
        </w:tc>
        <w:tc>
          <w:tcPr>
            <w:tcW w:w="1900" w:type="dxa"/>
            <w:gridSpan w:val="2"/>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528"/>
              <w:jc w:val="both"/>
              <w:rPr>
                <w:rStyle w:val="FontStyle63"/>
                <w:sz w:val="20"/>
                <w:szCs w:val="20"/>
              </w:rPr>
            </w:pPr>
            <w:r w:rsidRPr="00882F06">
              <w:rPr>
                <w:rStyle w:val="FontStyle63"/>
                <w:sz w:val="20"/>
                <w:szCs w:val="20"/>
              </w:rPr>
              <w:t>Warstwa</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Typ mieszanki</w:t>
            </w:r>
          </w:p>
        </w:tc>
      </w:tr>
      <w:tr w:rsidR="00C318BA" w:rsidRPr="00882F06" w:rsidTr="00C318BA">
        <w:trPr>
          <w:trHeight w:hRule="exact" w:val="374"/>
        </w:trPr>
        <w:tc>
          <w:tcPr>
            <w:tcW w:w="4421" w:type="dxa"/>
            <w:vMerge/>
            <w:tcBorders>
              <w:top w:val="nil"/>
              <w:left w:val="single" w:sz="6" w:space="0" w:color="auto"/>
              <w:bottom w:val="single" w:sz="6" w:space="0" w:color="auto"/>
              <w:right w:val="single" w:sz="6" w:space="0" w:color="auto"/>
            </w:tcBorders>
          </w:tcPr>
          <w:p w:rsidR="00C318BA" w:rsidRPr="00882F06" w:rsidRDefault="00C318BA" w:rsidP="00C318BA">
            <w:pPr>
              <w:jc w:val="both"/>
              <w:rPr>
                <w:rStyle w:val="FontStyle63"/>
                <w:sz w:val="20"/>
                <w:szCs w:val="20"/>
              </w:rPr>
            </w:pPr>
          </w:p>
          <w:p w:rsidR="00C318BA" w:rsidRPr="00882F06" w:rsidRDefault="00C318BA" w:rsidP="00C318BA">
            <w:pPr>
              <w:jc w:val="both"/>
              <w:rPr>
                <w:rStyle w:val="FontStyle63"/>
                <w:sz w:val="20"/>
                <w:szCs w:val="20"/>
              </w:rPr>
            </w:pP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P</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02"/>
              <w:jc w:val="both"/>
              <w:rPr>
                <w:rStyle w:val="FontStyle63"/>
                <w:sz w:val="20"/>
                <w:szCs w:val="20"/>
              </w:rPr>
            </w:pPr>
            <w:r w:rsidRPr="00882F06">
              <w:rPr>
                <w:rStyle w:val="FontStyle63"/>
                <w:sz w:val="20"/>
                <w:szCs w:val="20"/>
              </w:rPr>
              <w:t>W</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AC S, SMA, BBTM</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vertAlign w:val="superscript"/>
              </w:rPr>
            </w:pPr>
            <w:r w:rsidRPr="00882F06">
              <w:rPr>
                <w:rStyle w:val="FontStyle63"/>
                <w:sz w:val="20"/>
                <w:szCs w:val="20"/>
              </w:rPr>
              <w:t xml:space="preserve">1. Mieszanka mineralno-asfaltowa </w:t>
            </w:r>
            <w:r w:rsidRPr="00882F06">
              <w:rPr>
                <w:rStyle w:val="FontStyle63"/>
                <w:sz w:val="20"/>
                <w:szCs w:val="20"/>
                <w:vertAlign w:val="superscript"/>
              </w:rPr>
              <w:t>a)b)</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r>
      <w:tr w:rsidR="00C318BA" w:rsidRPr="00882F06" w:rsidTr="00C318BA">
        <w:trPr>
          <w:trHeight w:hRule="exact" w:val="28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1.1. Uziarnienie</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1.2. Zawartość lepiszcza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1.3. Temperatura mięknienia lepiszcza odzyskanego</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1.4. Gęstość i zawartość wolnych przestrzeni próbki</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480"/>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ind w:right="475"/>
              <w:jc w:val="both"/>
              <w:rPr>
                <w:rStyle w:val="FontStyle63"/>
                <w:sz w:val="20"/>
                <w:szCs w:val="20"/>
              </w:rPr>
            </w:pPr>
            <w:r w:rsidRPr="00882F06">
              <w:rPr>
                <w:rStyle w:val="FontStyle63"/>
                <w:sz w:val="20"/>
                <w:szCs w:val="20"/>
              </w:rPr>
              <w:t>1.5. Zagłębienie trzpienia (włącznie z przyrostem po kolejnych 30 minutach badania)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17"/>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65"/>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 Warstwa asfaltowa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vertAlign w:val="superscript"/>
              </w:rPr>
            </w:pPr>
            <w:r w:rsidRPr="00882F06">
              <w:rPr>
                <w:rStyle w:val="FontStyle63"/>
                <w:sz w:val="20"/>
                <w:szCs w:val="20"/>
              </w:rPr>
              <w:t xml:space="preserve">2.1. Wskaźnik zagęszczenia </w:t>
            </w:r>
            <w:r w:rsidRPr="00882F06">
              <w:rPr>
                <w:rStyle w:val="FontStyle63"/>
                <w:sz w:val="20"/>
                <w:szCs w:val="20"/>
                <w:vertAlign w:val="superscript"/>
              </w:rPr>
              <w:t>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8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2.2. Spadki poprzeczne</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2.3. Równość</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2.4. Grubość lub ilość materiału</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vertAlign w:val="superscript"/>
              </w:rPr>
            </w:pPr>
            <w:r w:rsidRPr="00882F06">
              <w:rPr>
                <w:rStyle w:val="FontStyle63"/>
                <w:sz w:val="20"/>
                <w:szCs w:val="20"/>
              </w:rPr>
              <w:t xml:space="preserve">+2.5. Zawartość wolnych przestrzeni </w:t>
            </w:r>
            <w:r w:rsidRPr="00882F06">
              <w:rPr>
                <w:rStyle w:val="FontStyle63"/>
                <w:sz w:val="20"/>
                <w:szCs w:val="20"/>
                <w:vertAlign w:val="superscript"/>
              </w:rPr>
              <w:t>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2.6. Właściwości przeciwpoślizgowe</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17"/>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65"/>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bl>
    <w:p w:rsidR="00C318BA" w:rsidRDefault="00C318BA" w:rsidP="00C318BA">
      <w:pPr>
        <w:pStyle w:val="Style30"/>
        <w:widowControl/>
        <w:spacing w:line="211" w:lineRule="exact"/>
        <w:jc w:val="both"/>
        <w:rPr>
          <w:rStyle w:val="FontStyle63"/>
        </w:rPr>
      </w:pPr>
      <w:r>
        <w:rPr>
          <w:rStyle w:val="FontStyle63"/>
        </w:rPr>
        <w:t>do każdej warstwy i na każde rozpoczęte 6000m</w:t>
      </w:r>
      <w:r>
        <w:rPr>
          <w:rStyle w:val="FontStyle63"/>
          <w:vertAlign w:val="superscript"/>
        </w:rPr>
        <w:t>2</w:t>
      </w:r>
      <w:r>
        <w:rPr>
          <w:rStyle w:val="FontStyle63"/>
        </w:rPr>
        <w:t xml:space="preserve"> nawierzchni jedna próbka; w razie potrzeby liczba próbek może zostać zwiększona (np. nawierzchnie dróg w terenie zabudowy, nawierzchnie mostowe) w razie potrzeby specjalne kruszywa i dodatki</w:t>
      </w:r>
    </w:p>
    <w:p w:rsidR="00C318BA" w:rsidRDefault="00C318BA" w:rsidP="00C318BA">
      <w:pPr>
        <w:widowControl w:val="0"/>
        <w:autoSpaceDE w:val="0"/>
        <w:autoSpaceDN w:val="0"/>
        <w:adjustRightInd w:val="0"/>
        <w:spacing w:before="36" w:after="0" w:line="240" w:lineRule="auto"/>
        <w:jc w:val="both"/>
        <w:rPr>
          <w:rFonts w:ascii="Times New Roman" w:hAnsi="Times New Roman"/>
          <w:b/>
          <w:bCs/>
          <w:i/>
          <w:iCs/>
          <w:color w:val="000000"/>
          <w:sz w:val="24"/>
          <w:szCs w:val="24"/>
        </w:rPr>
      </w:pP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b/>
          <w:bCs/>
          <w:i/>
          <w:iCs/>
          <w:color w:val="000000"/>
          <w:sz w:val="24"/>
          <w:szCs w:val="24"/>
        </w:rPr>
        <w:t xml:space="preserve">6.4.3. Badania kontrolne dodatkowe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 wypadku uznania, że jeden z wyników badań kontrolnych nie jest reprezentatywny dla ocenianego odcinka budowy, Wykonawca ma prawo żądać przeprowadzenia badań kontrolnych dodatkowych.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Inspektor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Do odbioru uwzględniane są wyniki badań kontrolnych i badań kontrolnych dodatkowych do wyznaczonych odcinków częściowych. Koszty badań kontrolnych dodatkowych zażądanych przez Wykonawcę ponosi Wykonawca. </w:t>
      </w:r>
    </w:p>
    <w:p w:rsidR="00C318BA" w:rsidRPr="00132E98" w:rsidRDefault="00C318BA" w:rsidP="00C318BA">
      <w:pPr>
        <w:widowControl w:val="0"/>
        <w:autoSpaceDE w:val="0"/>
        <w:autoSpaceDN w:val="0"/>
        <w:adjustRightInd w:val="0"/>
        <w:spacing w:before="120" w:after="120" w:line="240" w:lineRule="auto"/>
        <w:rPr>
          <w:rFonts w:ascii="Times New Roman" w:hAnsi="Times New Roman"/>
          <w:sz w:val="24"/>
          <w:szCs w:val="24"/>
        </w:rPr>
      </w:pPr>
      <w:r w:rsidRPr="00132E98">
        <w:rPr>
          <w:rFonts w:ascii="Times New Roman" w:hAnsi="Times New Roman"/>
          <w:b/>
          <w:bCs/>
          <w:i/>
          <w:iCs/>
          <w:color w:val="000000"/>
          <w:sz w:val="24"/>
          <w:szCs w:val="24"/>
        </w:rPr>
        <w:lastRenderedPageBreak/>
        <w:t xml:space="preserve">6.4.4. Badania arbitrażowe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Badania arbitrażowe są powtórzeniem badań kontrolnych, co do których istnieją uzasadnione wątpliwości ze strony Inspektora Nadzoru lub Wykonawcy (np. na podstawie własnych badań).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Badania arbitrażowe wykonuje na wniosek strony kontraktu niezależne laboratorium, które nie wykonywało badań kontrolnych. Koszty badań arbitrażowych wraz z wszystkimi kosztami ubocznymi ponosi strona, na której niekorzyść przemawia wynik badania. Wniosek o przeprowadzenie badań arbitrażowych dotyczących zawartości wolnych przestrzeni lub wskaźnika zagęszczenia należy złożyć w ciągu 2 miesięcy od wpływu reklamacji ze strony Inspektora Nadzoru. </w:t>
      </w:r>
    </w:p>
    <w:p w:rsidR="00C318BA" w:rsidRPr="00132E98" w:rsidRDefault="00C318BA" w:rsidP="00C318BA">
      <w:pPr>
        <w:widowControl w:val="0"/>
        <w:autoSpaceDE w:val="0"/>
        <w:autoSpaceDN w:val="0"/>
        <w:adjustRightInd w:val="0"/>
        <w:spacing w:before="120" w:after="120" w:line="240" w:lineRule="auto"/>
        <w:rPr>
          <w:rFonts w:ascii="Times New Roman" w:hAnsi="Times New Roman"/>
          <w:sz w:val="24"/>
          <w:szCs w:val="24"/>
        </w:rPr>
      </w:pPr>
      <w:r w:rsidRPr="00132E98">
        <w:rPr>
          <w:rFonts w:ascii="Times New Roman" w:hAnsi="Times New Roman"/>
          <w:b/>
          <w:bCs/>
          <w:i/>
          <w:iCs/>
          <w:color w:val="000000"/>
          <w:sz w:val="24"/>
          <w:szCs w:val="24"/>
        </w:rPr>
        <w:t xml:space="preserve">6.4.5. Ponadto warstwa bitumiczna powinna charakteryzować się następującymi cechami: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złącza w nawierzchni powinny być wykonane w linii prostej, równolegle lub prostopadle do osi. złącza w konstrukcji wielowarstwowej powinny być przesunięte względem si</w:t>
      </w:r>
      <w:r w:rsidR="00D160A1">
        <w:rPr>
          <w:rFonts w:ascii="Times New Roman" w:hAnsi="Times New Roman"/>
          <w:color w:val="000000"/>
          <w:sz w:val="24"/>
          <w:szCs w:val="24"/>
        </w:rPr>
        <w:t>ebie o odległości zgodne z p.5.6</w:t>
      </w:r>
      <w:r w:rsidRPr="00132E98">
        <w:rPr>
          <w:rFonts w:ascii="Times New Roman" w:hAnsi="Times New Roman"/>
          <w:color w:val="000000"/>
          <w:sz w:val="24"/>
          <w:szCs w:val="24"/>
        </w:rPr>
        <w:t xml:space="preserve">.3, </w:t>
      </w:r>
    </w:p>
    <w:p w:rsidR="00D160A1" w:rsidRPr="00D160A1"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 złącza powinny być całkowicie związane a przylegające warstwy powinny być w jednym poziomie,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 warstwa powinna mieć jednolitą teksturę, bez miejsc </w:t>
      </w:r>
      <w:proofErr w:type="spellStart"/>
      <w:r w:rsidRPr="00132E98">
        <w:rPr>
          <w:rFonts w:ascii="Times New Roman" w:hAnsi="Times New Roman"/>
          <w:color w:val="000000"/>
          <w:sz w:val="24"/>
          <w:szCs w:val="24"/>
        </w:rPr>
        <w:t>przeasfaltowanych</w:t>
      </w:r>
      <w:proofErr w:type="spellEnd"/>
      <w:r w:rsidRPr="00132E98">
        <w:rPr>
          <w:rFonts w:ascii="Times New Roman" w:hAnsi="Times New Roman"/>
          <w:color w:val="000000"/>
          <w:sz w:val="24"/>
          <w:szCs w:val="24"/>
        </w:rPr>
        <w:t xml:space="preserve">, porowatych, łuszczących się i spękanych. </w:t>
      </w:r>
    </w:p>
    <w:p w:rsidR="00C318BA" w:rsidRPr="00132E98" w:rsidRDefault="00C318BA" w:rsidP="00C318BA">
      <w:pPr>
        <w:widowControl w:val="0"/>
        <w:autoSpaceDE w:val="0"/>
        <w:autoSpaceDN w:val="0"/>
        <w:adjustRightInd w:val="0"/>
        <w:spacing w:before="120" w:after="120" w:line="240" w:lineRule="auto"/>
        <w:rPr>
          <w:rFonts w:ascii="Times New Roman" w:hAnsi="Times New Roman"/>
          <w:sz w:val="24"/>
          <w:szCs w:val="24"/>
        </w:rPr>
      </w:pPr>
    </w:p>
    <w:p w:rsidR="00C318BA" w:rsidRPr="00BB14C7"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7.  OBMIAR ROBÓT </w:t>
      </w:r>
    </w:p>
    <w:p w:rsidR="00C318BA" w:rsidRPr="00BB14C7"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7.1.   Ogólne zasady obmiaru robót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Ogólne zasady obmiaru robót podano w SST D.M.00.00.00 „Wymagania ogólne”.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b/>
          <w:bCs/>
          <w:color w:val="000000"/>
          <w:sz w:val="24"/>
          <w:szCs w:val="24"/>
        </w:rPr>
        <w:t xml:space="preserve">7.2.   Jednostka obmiarowa </w:t>
      </w:r>
    </w:p>
    <w:p w:rsidR="00117542" w:rsidRDefault="00117542" w:rsidP="00C318BA">
      <w:pPr>
        <w:widowControl w:val="0"/>
        <w:autoSpaceDE w:val="0"/>
        <w:autoSpaceDN w:val="0"/>
        <w:adjustRightInd w:val="0"/>
        <w:spacing w:before="120" w:after="120" w:line="240" w:lineRule="auto"/>
        <w:rPr>
          <w:rFonts w:ascii="Times New Roman" w:hAnsi="Times New Roman"/>
          <w:color w:val="000000"/>
          <w:sz w:val="24"/>
          <w:szCs w:val="24"/>
        </w:rPr>
      </w:pPr>
      <w:r>
        <w:rPr>
          <w:rFonts w:ascii="Times New Roman" w:hAnsi="Times New Roman"/>
          <w:color w:val="000000"/>
          <w:sz w:val="24"/>
          <w:szCs w:val="24"/>
        </w:rPr>
        <w:t>Jednostką obmiarową jest 1</w:t>
      </w:r>
      <w:r w:rsidR="00C318BA" w:rsidRPr="00BB14C7">
        <w:rPr>
          <w:rFonts w:ascii="Times New Roman" w:hAnsi="Times New Roman"/>
          <w:color w:val="000000"/>
          <w:sz w:val="24"/>
          <w:szCs w:val="24"/>
        </w:rPr>
        <w:t>m</w:t>
      </w:r>
      <w:r w:rsidR="00C318BA" w:rsidRPr="00BB14C7">
        <w:rPr>
          <w:rFonts w:ascii="Times New Roman" w:hAnsi="Times New Roman"/>
          <w:color w:val="000000"/>
          <w:position w:val="12"/>
          <w:sz w:val="24"/>
          <w:szCs w:val="24"/>
        </w:rPr>
        <w:t>2</w:t>
      </w:r>
      <w:r w:rsidR="00C318BA" w:rsidRPr="00BB14C7">
        <w:rPr>
          <w:rFonts w:ascii="Times New Roman" w:hAnsi="Times New Roman"/>
          <w:color w:val="000000"/>
          <w:sz w:val="24"/>
          <w:szCs w:val="24"/>
        </w:rPr>
        <w:t>(metr kwadrato</w:t>
      </w:r>
      <w:r>
        <w:rPr>
          <w:rFonts w:ascii="Times New Roman" w:hAnsi="Times New Roman"/>
          <w:color w:val="000000"/>
          <w:sz w:val="24"/>
          <w:szCs w:val="24"/>
        </w:rPr>
        <w:t>wy) wykonanej warstwy wiążącej</w:t>
      </w:r>
      <w:r w:rsidR="00C318BA" w:rsidRPr="00BB14C7">
        <w:rPr>
          <w:rFonts w:ascii="Times New Roman" w:hAnsi="Times New Roman"/>
          <w:color w:val="000000"/>
          <w:sz w:val="24"/>
          <w:szCs w:val="24"/>
        </w:rPr>
        <w:t>.</w:t>
      </w:r>
    </w:p>
    <w:p w:rsidR="00C318BA" w:rsidRPr="00BB14C7" w:rsidRDefault="00117542"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Jednostką obmiarową jest 1</w:t>
      </w:r>
      <w:r>
        <w:rPr>
          <w:rFonts w:ascii="Times New Roman" w:hAnsi="Times New Roman"/>
          <w:color w:val="000000"/>
          <w:sz w:val="24"/>
          <w:szCs w:val="24"/>
        </w:rPr>
        <w:t>t (tona) wykonanego wyrównania.</w:t>
      </w:r>
      <w:r w:rsidR="00C318BA" w:rsidRPr="00BB14C7">
        <w:rPr>
          <w:rFonts w:ascii="Times New Roman" w:hAnsi="Times New Roman"/>
          <w:color w:val="000000"/>
          <w:sz w:val="24"/>
          <w:szCs w:val="24"/>
        </w:rPr>
        <w:t xml:space="preserve">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8.  ODBIÓR ROBÓT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b/>
          <w:bCs/>
          <w:color w:val="000000"/>
          <w:sz w:val="24"/>
          <w:szCs w:val="24"/>
        </w:rPr>
        <w:t xml:space="preserve">8.1.  Ogólne zasady odbioru robót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Ogólne zasady odbioru robót podano w SST D.M.00.00.00 „Wymagania ogólne”.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8.2.  Odbiór i reklamacja robót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Odbioru robót należy dokonać zgodnie z WT-2 2008 pkt. 9. Roboty uznaje się za wykonane zgodnie z Dokumentacją Projektową, SST i poleceniami Inspektora Nadzoru jeżeli wszystkie badania i pomiary z uwzględnieniem tolerancji wg pkt. 6 dały wyniki pozytywne. Jeżeli warunki umowy przewidują dokonywanie potrąceń, to Zamawiający może w razie niedotrzymania wartości dopuszczalnych dokonać potrąceń według zasad określonych w WT-2 „Nawierzchnie asfa</w:t>
      </w:r>
      <w:r>
        <w:rPr>
          <w:rFonts w:ascii="Times New Roman" w:hAnsi="Times New Roman"/>
          <w:color w:val="000000"/>
          <w:sz w:val="24"/>
          <w:szCs w:val="24"/>
        </w:rPr>
        <w:t>ltowe na drogach publicznych”.</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9.  PODSTAWA PŁATNOŚCI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b/>
          <w:bCs/>
          <w:color w:val="000000"/>
          <w:sz w:val="24"/>
          <w:szCs w:val="24"/>
        </w:rPr>
        <w:t xml:space="preserve">9.1.  Ogólne zasady dotyczące podstawy płatności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Ogólne zasady dotyczące podstawy płatności podano w SST D</w:t>
      </w:r>
      <w:r>
        <w:rPr>
          <w:rFonts w:ascii="Times New Roman" w:hAnsi="Times New Roman"/>
          <w:color w:val="000000"/>
          <w:sz w:val="24"/>
          <w:szCs w:val="24"/>
        </w:rPr>
        <w:t>.M.00.00.00 „Wymagania ogólne”.</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Pr>
          <w:rFonts w:ascii="Times New Roman" w:hAnsi="Times New Roman"/>
          <w:b/>
          <w:bCs/>
          <w:color w:val="000000"/>
          <w:sz w:val="24"/>
          <w:szCs w:val="24"/>
        </w:rPr>
        <w:t>9.2.</w:t>
      </w:r>
      <w:r>
        <w:rPr>
          <w:rFonts w:ascii="Times New Roman" w:hAnsi="Times New Roman"/>
          <w:b/>
          <w:bCs/>
          <w:color w:val="000000"/>
          <w:sz w:val="24"/>
          <w:szCs w:val="24"/>
        </w:rPr>
        <w:tab/>
      </w:r>
      <w:r w:rsidRPr="00BB14C7">
        <w:rPr>
          <w:rFonts w:ascii="Times New Roman" w:hAnsi="Times New Roman"/>
          <w:b/>
          <w:bCs/>
          <w:color w:val="000000"/>
          <w:sz w:val="24"/>
          <w:szCs w:val="24"/>
        </w:rPr>
        <w:t xml:space="preserve">Cena jednostki obmiarowej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Płatność za 1 m</w:t>
      </w:r>
      <w:r w:rsidRPr="00BB14C7">
        <w:rPr>
          <w:rFonts w:ascii="Times New Roman" w:hAnsi="Times New Roman"/>
          <w:color w:val="000000"/>
          <w:position w:val="12"/>
          <w:sz w:val="24"/>
          <w:szCs w:val="24"/>
        </w:rPr>
        <w:t>2</w:t>
      </w:r>
      <w:r w:rsidRPr="00BB14C7">
        <w:rPr>
          <w:rFonts w:ascii="Times New Roman" w:hAnsi="Times New Roman"/>
          <w:color w:val="000000"/>
          <w:sz w:val="24"/>
          <w:szCs w:val="24"/>
        </w:rPr>
        <w:t xml:space="preserve"> wykonanej warstwy </w:t>
      </w:r>
      <w:r w:rsidR="00117542">
        <w:rPr>
          <w:rFonts w:ascii="Times New Roman" w:hAnsi="Times New Roman"/>
          <w:color w:val="000000"/>
          <w:sz w:val="24"/>
          <w:szCs w:val="24"/>
        </w:rPr>
        <w:t>wiążącej</w:t>
      </w:r>
      <w:r w:rsidRPr="00BB14C7">
        <w:rPr>
          <w:rFonts w:ascii="Times New Roman" w:hAnsi="Times New Roman"/>
          <w:color w:val="000000"/>
          <w:sz w:val="24"/>
          <w:szCs w:val="24"/>
        </w:rPr>
        <w:t xml:space="preserve"> należy przyjmować na podstawie obmiaru i </w:t>
      </w:r>
      <w:r w:rsidRPr="00BB14C7">
        <w:rPr>
          <w:rFonts w:ascii="Times New Roman" w:hAnsi="Times New Roman"/>
          <w:color w:val="000000"/>
          <w:sz w:val="24"/>
          <w:szCs w:val="24"/>
        </w:rPr>
        <w:lastRenderedPageBreak/>
        <w:t xml:space="preserve">oceny jakości wykonanych robót w oparciu o wyniki pomiarów i badań laboratoryjnych. </w:t>
      </w:r>
    </w:p>
    <w:p w:rsidR="00D160A1" w:rsidRDefault="00D160A1" w:rsidP="00C318BA">
      <w:pPr>
        <w:widowControl w:val="0"/>
        <w:autoSpaceDE w:val="0"/>
        <w:autoSpaceDN w:val="0"/>
        <w:adjustRightInd w:val="0"/>
        <w:spacing w:before="120" w:after="120" w:line="240" w:lineRule="auto"/>
        <w:rPr>
          <w:rFonts w:ascii="Times New Roman" w:hAnsi="Times New Roman"/>
          <w:color w:val="000000"/>
          <w:sz w:val="24"/>
          <w:szCs w:val="24"/>
        </w:rPr>
      </w:pP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Cena wykonania robót obejmuje: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prace pomiarowe i roboty przygotowawcze,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oznakowanie robót zgodnie z projektem organizacji ruchu na czas budowy,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zakup i dostarczenie materiałów przeznaczonych do produkcji mieszanki,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opracowanie recepty laboratoryjnej na mieszankę mineralno-asfaltową wraz z badaniami,</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wyprodukowanie mieszanki zgodnej z zatwierdzoną receptą laboratoryjną,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transport mieszanki na miejsce wbudowania,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uszczelnienie połączeń technologicznych</w:t>
      </w:r>
      <w:r w:rsidR="00834986">
        <w:rPr>
          <w:rFonts w:ascii="Times New Roman" w:hAnsi="Times New Roman"/>
          <w:color w:val="000000"/>
          <w:sz w:val="24"/>
          <w:szCs w:val="24"/>
        </w:rPr>
        <w:t xml:space="preserve"> emulsją asfaltową</w:t>
      </w:r>
      <w:r w:rsidRPr="00BB14C7">
        <w:rPr>
          <w:rFonts w:ascii="Times New Roman" w:hAnsi="Times New Roman"/>
          <w:color w:val="000000"/>
          <w:sz w:val="24"/>
          <w:szCs w:val="24"/>
        </w:rPr>
        <w:t xml:space="preserve">, </w:t>
      </w:r>
    </w:p>
    <w:p w:rsidR="00C318BA"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BB14C7">
        <w:rPr>
          <w:rFonts w:ascii="Times New Roman" w:hAnsi="Times New Roman"/>
          <w:color w:val="000000"/>
          <w:sz w:val="24"/>
          <w:szCs w:val="24"/>
        </w:rPr>
        <w:t xml:space="preserve">- wbudowanie mieszanki zgodnie z założoną grubością, szerokością i profilem z zachowaniem projektowanej niwelety,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 xml:space="preserve">- zagęszczenie mieszanki mineralno-asfaltowej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 przeprowadzenie wszystkich niezbędnych ba</w:t>
      </w:r>
      <w:r w:rsidR="00834986">
        <w:rPr>
          <w:rFonts w:ascii="Times New Roman" w:hAnsi="Times New Roman"/>
          <w:color w:val="000000"/>
          <w:sz w:val="24"/>
          <w:szCs w:val="24"/>
        </w:rPr>
        <w:t>dań, pomiarów, prób i sprawdzeń</w:t>
      </w:r>
      <w:r w:rsidRPr="00BB14C7">
        <w:rPr>
          <w:rFonts w:ascii="Times New Roman" w:hAnsi="Times New Roman"/>
          <w:color w:val="000000"/>
          <w:sz w:val="24"/>
          <w:szCs w:val="24"/>
        </w:rPr>
        <w:t xml:space="preserve">, </w:t>
      </w:r>
    </w:p>
    <w:p w:rsidR="00C318BA" w:rsidRDefault="00C318BA" w:rsidP="00C318BA">
      <w:pPr>
        <w:widowControl w:val="0"/>
        <w:autoSpaceDE w:val="0"/>
        <w:autoSpaceDN w:val="0"/>
        <w:adjustRightInd w:val="0"/>
        <w:spacing w:before="120" w:after="120" w:line="240" w:lineRule="auto"/>
        <w:rPr>
          <w:rFonts w:ascii="Times New Roman" w:hAnsi="Times New Roman"/>
          <w:color w:val="000000"/>
          <w:sz w:val="24"/>
          <w:szCs w:val="24"/>
        </w:rPr>
      </w:pPr>
      <w:r w:rsidRPr="00BB14C7">
        <w:rPr>
          <w:rFonts w:ascii="Times New Roman" w:hAnsi="Times New Roman"/>
          <w:color w:val="000000"/>
          <w:sz w:val="24"/>
          <w:szCs w:val="24"/>
        </w:rPr>
        <w:t xml:space="preserve">- utrzymanie </w:t>
      </w:r>
      <w:r>
        <w:rPr>
          <w:rFonts w:ascii="Times New Roman" w:hAnsi="Times New Roman"/>
          <w:color w:val="000000"/>
          <w:sz w:val="24"/>
          <w:szCs w:val="24"/>
        </w:rPr>
        <w:t xml:space="preserve">warstwy </w:t>
      </w:r>
      <w:r w:rsidR="00117542">
        <w:rPr>
          <w:rFonts w:ascii="Times New Roman" w:hAnsi="Times New Roman"/>
          <w:color w:val="000000"/>
          <w:sz w:val="24"/>
          <w:szCs w:val="24"/>
        </w:rPr>
        <w:t>wiążącej</w:t>
      </w:r>
      <w:r w:rsidRPr="00BB14C7">
        <w:rPr>
          <w:rFonts w:ascii="Times New Roman" w:hAnsi="Times New Roman"/>
          <w:color w:val="000000"/>
          <w:sz w:val="24"/>
          <w:szCs w:val="24"/>
        </w:rPr>
        <w:t xml:space="preserve"> w czasie robót, </w:t>
      </w:r>
    </w:p>
    <w:p w:rsidR="00117542" w:rsidRPr="00BB14C7" w:rsidRDefault="00117542" w:rsidP="00117542">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Płatność za 1</w:t>
      </w:r>
      <w:r>
        <w:rPr>
          <w:rFonts w:ascii="Times New Roman" w:hAnsi="Times New Roman"/>
          <w:color w:val="000000"/>
          <w:sz w:val="24"/>
          <w:szCs w:val="24"/>
        </w:rPr>
        <w:t xml:space="preserve"> tonę wykonanego</w:t>
      </w:r>
      <w:r w:rsidRPr="00BB14C7">
        <w:rPr>
          <w:rFonts w:ascii="Times New Roman" w:hAnsi="Times New Roman"/>
          <w:color w:val="000000"/>
          <w:sz w:val="24"/>
          <w:szCs w:val="24"/>
        </w:rPr>
        <w:t xml:space="preserve"> </w:t>
      </w:r>
      <w:r>
        <w:rPr>
          <w:rFonts w:ascii="Times New Roman" w:hAnsi="Times New Roman"/>
          <w:color w:val="000000"/>
          <w:sz w:val="24"/>
          <w:szCs w:val="24"/>
        </w:rPr>
        <w:t>wyrównania</w:t>
      </w:r>
      <w:r w:rsidRPr="00BB14C7">
        <w:rPr>
          <w:rFonts w:ascii="Times New Roman" w:hAnsi="Times New Roman"/>
          <w:color w:val="000000"/>
          <w:sz w:val="24"/>
          <w:szCs w:val="24"/>
        </w:rPr>
        <w:t xml:space="preserve"> należy przyjmować na podstawie obmiaru i oceny jakości wykonanych robót w oparciu o wyniki pomiarów i badań laboratoryjnych. </w:t>
      </w:r>
    </w:p>
    <w:p w:rsidR="00117542" w:rsidRPr="00BB14C7" w:rsidRDefault="00117542" w:rsidP="00117542">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Cena wykonania robót obejmuje: </w:t>
      </w:r>
    </w:p>
    <w:p w:rsidR="00117542" w:rsidRPr="00BB14C7" w:rsidRDefault="00117542" w:rsidP="00117542">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prace pomiarowe i roboty przygotowawcze, </w:t>
      </w:r>
    </w:p>
    <w:p w:rsidR="00117542" w:rsidRPr="00BB14C7" w:rsidRDefault="00117542" w:rsidP="00117542">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oznakowanie robót zgodnie z projektem organizacji ruchu na czas budowy, </w:t>
      </w:r>
    </w:p>
    <w:p w:rsidR="00117542" w:rsidRPr="00BB14C7" w:rsidRDefault="00117542" w:rsidP="00117542">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zakup i dostarczenie materiałów przeznaczonych do produkcji mieszanki,  </w:t>
      </w:r>
    </w:p>
    <w:p w:rsidR="00117542" w:rsidRPr="00BB14C7" w:rsidRDefault="00117542" w:rsidP="00117542">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wyprodukowanie mieszanki zgodnej z zatwierdzoną receptą laboratoryjną, </w:t>
      </w:r>
    </w:p>
    <w:p w:rsidR="00117542" w:rsidRPr="00BB14C7" w:rsidRDefault="00117542" w:rsidP="00117542">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transport mieszanki na miejsce wbudowania, </w:t>
      </w:r>
    </w:p>
    <w:p w:rsidR="00117542" w:rsidRPr="00BB14C7" w:rsidRDefault="00117542" w:rsidP="00117542">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uszczelnienie połączeń technologicznych</w:t>
      </w:r>
      <w:r>
        <w:rPr>
          <w:rFonts w:ascii="Times New Roman" w:hAnsi="Times New Roman"/>
          <w:color w:val="000000"/>
          <w:sz w:val="24"/>
          <w:szCs w:val="24"/>
        </w:rPr>
        <w:t xml:space="preserve"> emulsją asfaltową</w:t>
      </w:r>
      <w:r w:rsidRPr="00BB14C7">
        <w:rPr>
          <w:rFonts w:ascii="Times New Roman" w:hAnsi="Times New Roman"/>
          <w:color w:val="000000"/>
          <w:sz w:val="24"/>
          <w:szCs w:val="24"/>
        </w:rPr>
        <w:t xml:space="preserve">, </w:t>
      </w:r>
    </w:p>
    <w:p w:rsidR="00117542" w:rsidRDefault="00117542" w:rsidP="00117542">
      <w:pPr>
        <w:widowControl w:val="0"/>
        <w:autoSpaceDE w:val="0"/>
        <w:autoSpaceDN w:val="0"/>
        <w:adjustRightInd w:val="0"/>
        <w:spacing w:before="120" w:after="120" w:line="240" w:lineRule="auto"/>
        <w:jc w:val="both"/>
        <w:rPr>
          <w:rFonts w:ascii="Times New Roman" w:hAnsi="Times New Roman"/>
          <w:color w:val="000000"/>
          <w:sz w:val="24"/>
          <w:szCs w:val="24"/>
        </w:rPr>
      </w:pPr>
      <w:r w:rsidRPr="00BB14C7">
        <w:rPr>
          <w:rFonts w:ascii="Times New Roman" w:hAnsi="Times New Roman"/>
          <w:color w:val="000000"/>
          <w:sz w:val="24"/>
          <w:szCs w:val="24"/>
        </w:rPr>
        <w:t xml:space="preserve">- wbudowanie mieszanki zgodnie z założoną grubością, szerokością i profilem z zachowaniem projektowanej niwelety, </w:t>
      </w:r>
    </w:p>
    <w:p w:rsidR="00117542" w:rsidRPr="00BB14C7" w:rsidRDefault="00117542" w:rsidP="00117542">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 xml:space="preserve">- zagęszczenie mieszanki mineralno-asfaltowej </w:t>
      </w:r>
    </w:p>
    <w:p w:rsidR="00117542" w:rsidRPr="00BB14C7" w:rsidRDefault="00117542" w:rsidP="00117542">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 przeprowadzenie wszystkich niezbędnych ba</w:t>
      </w:r>
      <w:r>
        <w:rPr>
          <w:rFonts w:ascii="Times New Roman" w:hAnsi="Times New Roman"/>
          <w:color w:val="000000"/>
          <w:sz w:val="24"/>
          <w:szCs w:val="24"/>
        </w:rPr>
        <w:t>dań, pomiarów, prób i sprawdzeń</w:t>
      </w:r>
      <w:r w:rsidRPr="00BB14C7">
        <w:rPr>
          <w:rFonts w:ascii="Times New Roman" w:hAnsi="Times New Roman"/>
          <w:color w:val="000000"/>
          <w:sz w:val="24"/>
          <w:szCs w:val="24"/>
        </w:rPr>
        <w:t xml:space="preserve">, </w:t>
      </w:r>
    </w:p>
    <w:p w:rsidR="00117542" w:rsidRPr="00BB14C7" w:rsidRDefault="00117542" w:rsidP="00117542">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utrzymanie </w:t>
      </w:r>
      <w:r>
        <w:rPr>
          <w:rFonts w:ascii="Times New Roman" w:hAnsi="Times New Roman"/>
          <w:color w:val="000000"/>
          <w:sz w:val="24"/>
          <w:szCs w:val="24"/>
        </w:rPr>
        <w:t>warstwy wyrównawczej</w:t>
      </w:r>
      <w:r w:rsidRPr="00BB14C7">
        <w:rPr>
          <w:rFonts w:ascii="Times New Roman" w:hAnsi="Times New Roman"/>
          <w:color w:val="000000"/>
          <w:sz w:val="24"/>
          <w:szCs w:val="24"/>
        </w:rPr>
        <w:t xml:space="preserve"> w czasie robót, </w:t>
      </w:r>
    </w:p>
    <w:p w:rsidR="00C318BA" w:rsidRPr="00BB14C7" w:rsidRDefault="00C318BA" w:rsidP="00C318BA">
      <w:pPr>
        <w:pStyle w:val="Style5"/>
        <w:widowControl/>
        <w:spacing w:before="120" w:after="120"/>
        <w:ind w:left="14"/>
        <w:jc w:val="both"/>
        <w:rPr>
          <w:rStyle w:val="FontStyle66"/>
          <w:sz w:val="24"/>
          <w:szCs w:val="24"/>
        </w:rPr>
      </w:pPr>
      <w:r>
        <w:rPr>
          <w:rStyle w:val="FontStyle66"/>
          <w:sz w:val="24"/>
          <w:szCs w:val="24"/>
        </w:rPr>
        <w:t>10.</w:t>
      </w:r>
      <w:r>
        <w:rPr>
          <w:rStyle w:val="FontStyle66"/>
          <w:sz w:val="24"/>
          <w:szCs w:val="24"/>
        </w:rPr>
        <w:tab/>
      </w:r>
      <w:r w:rsidRPr="00BB14C7">
        <w:rPr>
          <w:rStyle w:val="FontStyle66"/>
          <w:sz w:val="24"/>
          <w:szCs w:val="24"/>
        </w:rPr>
        <w:t>PRZEPISY ZWIĄZANE</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„WT-1 Kruszywa 2010"</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„WT-2 Nawierzchnie asfaltowe 2008" i „WT-2 Nawierzchnie asfaltowe 2010"</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„WT-3 Emulsje asfaltowe 2009"</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Polskie Normy powołane w WT-1</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Polskie Normy powołane w WT-2</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Polskie Normy powołane w WT-3</w:t>
      </w:r>
    </w:p>
    <w:p w:rsidR="008D669F" w:rsidRPr="006816F4" w:rsidRDefault="00C318BA" w:rsidP="006816F4">
      <w:pPr>
        <w:pStyle w:val="Style41"/>
        <w:widowControl/>
        <w:numPr>
          <w:ilvl w:val="0"/>
          <w:numId w:val="4"/>
        </w:numPr>
        <w:tabs>
          <w:tab w:val="left" w:pos="422"/>
        </w:tabs>
        <w:spacing w:before="120" w:after="120" w:line="240" w:lineRule="auto"/>
        <w:ind w:left="422" w:hanging="418"/>
        <w:jc w:val="both"/>
        <w:rPr>
          <w:spacing w:val="-10"/>
        </w:rPr>
      </w:pPr>
      <w:r w:rsidRPr="00BB14C7">
        <w:rPr>
          <w:rStyle w:val="FontStyle67"/>
          <w:sz w:val="24"/>
          <w:szCs w:val="24"/>
        </w:rPr>
        <w:t>Rozporządzenie Ministra Transportu i Gospodarki Morskiej w sprawie warunków technicznych, jakim powinny odpowiadać drogi publiczne i ich usytuowanie Dz. U. Nr 43 z dnia 14 maja 1999 r.</w:t>
      </w:r>
    </w:p>
    <w:sectPr w:rsidR="008D669F" w:rsidRPr="006816F4" w:rsidSect="00C318BA">
      <w:type w:val="continuous"/>
      <w:pgSz w:w="11900" w:h="16840"/>
      <w:pgMar w:top="737" w:right="1268" w:bottom="764" w:left="1589" w:header="708" w:footer="708" w:gutter="0"/>
      <w:cols w:space="708" w:equalWidth="0">
        <w:col w:w="9156"/>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3364" w:rsidRDefault="001D3364" w:rsidP="00C318BA">
      <w:pPr>
        <w:spacing w:after="0" w:line="240" w:lineRule="auto"/>
      </w:pPr>
      <w:r>
        <w:separator/>
      </w:r>
    </w:p>
  </w:endnote>
  <w:endnote w:type="continuationSeparator" w:id="0">
    <w:p w:rsidR="001D3364" w:rsidRDefault="001D3364" w:rsidP="00C318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w:panose1 w:val="00000000000000000000"/>
    <w:charset w:val="EE"/>
    <w:family w:val="roman"/>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A21" w:rsidRDefault="007F7A2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78876"/>
      <w:docPartObj>
        <w:docPartGallery w:val="Page Numbers (Bottom of Page)"/>
        <w:docPartUnique/>
      </w:docPartObj>
    </w:sdtPr>
    <w:sdtEndPr/>
    <w:sdtContent>
      <w:p w:rsidR="00117542" w:rsidRDefault="001D3364" w:rsidP="00117542">
        <w:pPr>
          <w:pStyle w:val="Stopka"/>
          <w:pBdr>
            <w:top w:val="single" w:sz="4" w:space="1" w:color="auto"/>
          </w:pBdr>
          <w:jc w:val="right"/>
        </w:pPr>
      </w:p>
    </w:sdtContent>
  </w:sdt>
  <w:p w:rsidR="00117542" w:rsidRDefault="00117542" w:rsidP="00C318BA">
    <w:pPr>
      <w:pStyle w:val="Stopka"/>
      <w:pBdr>
        <w:top w:val="single" w:sz="4" w:space="1" w:color="auto"/>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A21" w:rsidRDefault="007F7A2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3364" w:rsidRDefault="001D3364" w:rsidP="00C318BA">
      <w:pPr>
        <w:spacing w:after="0" w:line="240" w:lineRule="auto"/>
      </w:pPr>
      <w:r>
        <w:separator/>
      </w:r>
    </w:p>
  </w:footnote>
  <w:footnote w:type="continuationSeparator" w:id="0">
    <w:p w:rsidR="001D3364" w:rsidRDefault="001D3364" w:rsidP="00C318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A21" w:rsidRDefault="007F7A2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542" w:rsidRPr="008D352D" w:rsidRDefault="00117542" w:rsidP="00C318BA">
    <w:pPr>
      <w:pStyle w:val="Nagwek"/>
      <w:pBdr>
        <w:bottom w:val="single" w:sz="4" w:space="1" w:color="auto"/>
      </w:pBdr>
      <w:jc w:val="both"/>
      <w:rPr>
        <w:rFonts w:ascii="Times New Roman" w:hAnsi="Times New Roman"/>
        <w:i/>
        <w:sz w:val="20"/>
        <w:szCs w:val="20"/>
      </w:rPr>
    </w:pPr>
    <w:r w:rsidRPr="008D352D">
      <w:rPr>
        <w:rFonts w:ascii="Times New Roman" w:hAnsi="Times New Roman"/>
        <w:i/>
        <w:sz w:val="20"/>
        <w:szCs w:val="20"/>
      </w:rPr>
      <w:t>Specyfikacje</w:t>
    </w:r>
    <w:r w:rsidRPr="008D352D">
      <w:rPr>
        <w:rFonts w:ascii="Times New Roman" w:hAnsi="Times New Roman"/>
        <w:i/>
      </w:rPr>
      <w:t xml:space="preserve"> Techniczne</w:t>
    </w:r>
    <w:r w:rsidRPr="008D352D">
      <w:rPr>
        <w:rFonts w:ascii="Times New Roman" w:hAnsi="Times New Roman"/>
        <w:i/>
      </w:rPr>
      <w:tab/>
    </w:r>
    <w:r w:rsidRPr="008D352D">
      <w:rPr>
        <w:rFonts w:ascii="Times New Roman" w:hAnsi="Times New Roman"/>
        <w:i/>
      </w:rPr>
      <w:tab/>
    </w:r>
    <w:r w:rsidRPr="008D352D">
      <w:rPr>
        <w:rFonts w:ascii="Times New Roman" w:hAnsi="Times New Roman"/>
        <w:i/>
        <w:sz w:val="20"/>
        <w:szCs w:val="20"/>
      </w:rPr>
      <w:t>D.05.03.05</w:t>
    </w:r>
    <w:r>
      <w:rPr>
        <w:rFonts w:ascii="Times New Roman" w:hAnsi="Times New Roman"/>
        <w:i/>
        <w:sz w:val="20"/>
        <w:szCs w:val="20"/>
      </w:rPr>
      <w:t>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A21" w:rsidRDefault="007F7A2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696CD6"/>
    <w:multiLevelType w:val="hybridMultilevel"/>
    <w:tmpl w:val="1EF85D4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3CF120D5"/>
    <w:multiLevelType w:val="hybridMultilevel"/>
    <w:tmpl w:val="485425F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C281918"/>
    <w:multiLevelType w:val="singleLevel"/>
    <w:tmpl w:val="EC6EE634"/>
    <w:lvl w:ilvl="0">
      <w:start w:val="1"/>
      <w:numFmt w:val="decimal"/>
      <w:lvlText w:val="%1."/>
      <w:legacy w:legacy="1" w:legacySpace="0" w:legacyIndent="417"/>
      <w:lvlJc w:val="left"/>
      <w:rPr>
        <w:rFonts w:ascii="Times New Roman" w:hAnsi="Times New Roman" w:cs="Times New Roman" w:hint="default"/>
      </w:rPr>
    </w:lvl>
  </w:abstractNum>
  <w:num w:numId="1">
    <w:abstractNumId w:val="1"/>
  </w:num>
  <w:num w:numId="2">
    <w:abstractNumId w:val="0"/>
  </w:num>
  <w:num w:numId="3">
    <w:abstractNumId w:val="2"/>
  </w:num>
  <w:num w:numId="4">
    <w:abstractNumId w:val="2"/>
    <w:lvlOverride w:ilvl="0">
      <w:lvl w:ilvl="0">
        <w:start w:val="1"/>
        <w:numFmt w:val="decimal"/>
        <w:lvlText w:val="%1."/>
        <w:legacy w:legacy="1" w:legacySpace="0" w:legacyIndent="418"/>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318BA"/>
    <w:rsid w:val="0001527E"/>
    <w:rsid w:val="000C28E4"/>
    <w:rsid w:val="00117542"/>
    <w:rsid w:val="00141260"/>
    <w:rsid w:val="00193FA0"/>
    <w:rsid w:val="001D3364"/>
    <w:rsid w:val="001D6D96"/>
    <w:rsid w:val="00264E0E"/>
    <w:rsid w:val="002653B8"/>
    <w:rsid w:val="002B3AB4"/>
    <w:rsid w:val="0031245F"/>
    <w:rsid w:val="003513C3"/>
    <w:rsid w:val="003A6259"/>
    <w:rsid w:val="00493DA2"/>
    <w:rsid w:val="004D4534"/>
    <w:rsid w:val="004F038E"/>
    <w:rsid w:val="00506C01"/>
    <w:rsid w:val="00634AD6"/>
    <w:rsid w:val="006816F4"/>
    <w:rsid w:val="00684414"/>
    <w:rsid w:val="006B4581"/>
    <w:rsid w:val="006C216D"/>
    <w:rsid w:val="0074226C"/>
    <w:rsid w:val="007C5844"/>
    <w:rsid w:val="007E0F45"/>
    <w:rsid w:val="007E17C2"/>
    <w:rsid w:val="007F7A21"/>
    <w:rsid w:val="00834986"/>
    <w:rsid w:val="008D669F"/>
    <w:rsid w:val="00A57C67"/>
    <w:rsid w:val="00BC5B4C"/>
    <w:rsid w:val="00C318BA"/>
    <w:rsid w:val="00CF0ECF"/>
    <w:rsid w:val="00D160A1"/>
    <w:rsid w:val="00D32CAD"/>
    <w:rsid w:val="00E32E97"/>
    <w:rsid w:val="00F36E4C"/>
    <w:rsid w:val="00F73177"/>
    <w:rsid w:val="00F91179"/>
    <w:rsid w:val="00FD44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1BF761A-08FD-4000-B6A4-3FB3EFC99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318BA"/>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318B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318BA"/>
    <w:rPr>
      <w:rFonts w:ascii="Calibri" w:eastAsia="Times New Roman" w:hAnsi="Calibri" w:cs="Times New Roman"/>
      <w:lang w:eastAsia="pl-PL"/>
    </w:rPr>
  </w:style>
  <w:style w:type="paragraph" w:styleId="Stopka">
    <w:name w:val="footer"/>
    <w:basedOn w:val="Normalny"/>
    <w:link w:val="StopkaZnak"/>
    <w:uiPriority w:val="99"/>
    <w:unhideWhenUsed/>
    <w:rsid w:val="00C318B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318BA"/>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C318B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318BA"/>
    <w:rPr>
      <w:rFonts w:ascii="Tahoma" w:eastAsia="Times New Roman" w:hAnsi="Tahoma" w:cs="Tahoma"/>
      <w:sz w:val="16"/>
      <w:szCs w:val="16"/>
      <w:lang w:eastAsia="pl-PL"/>
    </w:rPr>
  </w:style>
  <w:style w:type="paragraph" w:styleId="Akapitzlist">
    <w:name w:val="List Paragraph"/>
    <w:basedOn w:val="Normalny"/>
    <w:uiPriority w:val="34"/>
    <w:qFormat/>
    <w:rsid w:val="00C318BA"/>
    <w:pPr>
      <w:ind w:left="720"/>
      <w:contextualSpacing/>
    </w:pPr>
  </w:style>
  <w:style w:type="table" w:styleId="Tabela-Siatka">
    <w:name w:val="Table Grid"/>
    <w:basedOn w:val="Standardowy"/>
    <w:uiPriority w:val="59"/>
    <w:rsid w:val="00C318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C318B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pPr>
    <w:rPr>
      <w:rFonts w:ascii="Times New" w:hAnsi="Times New"/>
      <w:sz w:val="24"/>
      <w:szCs w:val="20"/>
    </w:rPr>
  </w:style>
  <w:style w:type="character" w:customStyle="1" w:styleId="TekstpodstawowyZnak">
    <w:name w:val="Tekst podstawowy Znak"/>
    <w:basedOn w:val="Domylnaczcionkaakapitu"/>
    <w:link w:val="Tekstpodstawowy"/>
    <w:rsid w:val="00C318BA"/>
    <w:rPr>
      <w:rFonts w:ascii="Times New" w:eastAsia="Times New Roman" w:hAnsi="Times New" w:cs="Times New Roman"/>
      <w:sz w:val="24"/>
      <w:szCs w:val="20"/>
      <w:lang w:eastAsia="pl-PL"/>
    </w:rPr>
  </w:style>
  <w:style w:type="paragraph" w:customStyle="1" w:styleId="Style8">
    <w:name w:val="Style8"/>
    <w:basedOn w:val="Normalny"/>
    <w:rsid w:val="00C318BA"/>
    <w:pPr>
      <w:widowControl w:val="0"/>
      <w:autoSpaceDE w:val="0"/>
      <w:autoSpaceDN w:val="0"/>
      <w:adjustRightInd w:val="0"/>
      <w:spacing w:after="0" w:line="211" w:lineRule="exact"/>
    </w:pPr>
    <w:rPr>
      <w:rFonts w:ascii="Times New Roman" w:hAnsi="Times New Roman"/>
      <w:sz w:val="24"/>
      <w:szCs w:val="24"/>
    </w:rPr>
  </w:style>
  <w:style w:type="character" w:customStyle="1" w:styleId="FontStyle63">
    <w:name w:val="Font Style63"/>
    <w:basedOn w:val="Domylnaczcionkaakapitu"/>
    <w:rsid w:val="00C318BA"/>
    <w:rPr>
      <w:rFonts w:ascii="Times New Roman" w:hAnsi="Times New Roman" w:cs="Times New Roman"/>
      <w:sz w:val="16"/>
      <w:szCs w:val="16"/>
    </w:rPr>
  </w:style>
  <w:style w:type="paragraph" w:customStyle="1" w:styleId="Style22">
    <w:name w:val="Style22"/>
    <w:basedOn w:val="Normalny"/>
    <w:rsid w:val="00C318BA"/>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Domylnaczcionkaakapitu"/>
    <w:rsid w:val="00C318BA"/>
    <w:rPr>
      <w:rFonts w:ascii="Times New Roman" w:hAnsi="Times New Roman" w:cs="Times New Roman"/>
      <w:b/>
      <w:bCs/>
      <w:sz w:val="18"/>
      <w:szCs w:val="18"/>
    </w:rPr>
  </w:style>
  <w:style w:type="paragraph" w:customStyle="1" w:styleId="Style10">
    <w:name w:val="Style10"/>
    <w:basedOn w:val="Normalny"/>
    <w:rsid w:val="00C318BA"/>
    <w:pPr>
      <w:widowControl w:val="0"/>
      <w:autoSpaceDE w:val="0"/>
      <w:autoSpaceDN w:val="0"/>
      <w:adjustRightInd w:val="0"/>
      <w:spacing w:after="0" w:line="211" w:lineRule="exact"/>
      <w:jc w:val="center"/>
    </w:pPr>
    <w:rPr>
      <w:rFonts w:ascii="Times New Roman" w:hAnsi="Times New Roman"/>
      <w:sz w:val="24"/>
      <w:szCs w:val="24"/>
    </w:rPr>
  </w:style>
  <w:style w:type="paragraph" w:customStyle="1" w:styleId="Style12">
    <w:name w:val="Style12"/>
    <w:basedOn w:val="Normalny"/>
    <w:rsid w:val="00C318BA"/>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5">
    <w:name w:val="Style15"/>
    <w:basedOn w:val="Normalny"/>
    <w:rsid w:val="00C318BA"/>
    <w:pPr>
      <w:widowControl w:val="0"/>
      <w:autoSpaceDE w:val="0"/>
      <w:autoSpaceDN w:val="0"/>
      <w:adjustRightInd w:val="0"/>
      <w:spacing w:after="0" w:line="235" w:lineRule="exact"/>
      <w:ind w:hanging="355"/>
      <w:jc w:val="both"/>
    </w:pPr>
    <w:rPr>
      <w:rFonts w:ascii="Times New Roman" w:hAnsi="Times New Roman"/>
      <w:sz w:val="24"/>
      <w:szCs w:val="24"/>
    </w:rPr>
  </w:style>
  <w:style w:type="paragraph" w:customStyle="1" w:styleId="Style7">
    <w:name w:val="Style7"/>
    <w:basedOn w:val="Normalny"/>
    <w:rsid w:val="00C318BA"/>
    <w:pPr>
      <w:widowControl w:val="0"/>
      <w:autoSpaceDE w:val="0"/>
      <w:autoSpaceDN w:val="0"/>
      <w:adjustRightInd w:val="0"/>
      <w:spacing w:after="0" w:line="240" w:lineRule="auto"/>
    </w:pPr>
    <w:rPr>
      <w:rFonts w:ascii="Times New Roman" w:hAnsi="Times New Roman"/>
      <w:sz w:val="24"/>
      <w:szCs w:val="24"/>
    </w:rPr>
  </w:style>
  <w:style w:type="character" w:customStyle="1" w:styleId="FontStyle58">
    <w:name w:val="Font Style58"/>
    <w:basedOn w:val="Domylnaczcionkaakapitu"/>
    <w:rsid w:val="00C318BA"/>
    <w:rPr>
      <w:rFonts w:ascii="Times New Roman" w:hAnsi="Times New Roman" w:cs="Times New Roman"/>
      <w:i/>
      <w:iCs/>
      <w:sz w:val="16"/>
      <w:szCs w:val="16"/>
    </w:rPr>
  </w:style>
  <w:style w:type="paragraph" w:customStyle="1" w:styleId="Style2">
    <w:name w:val="Style2"/>
    <w:basedOn w:val="Normalny"/>
    <w:rsid w:val="00C318BA"/>
    <w:pPr>
      <w:widowControl w:val="0"/>
      <w:autoSpaceDE w:val="0"/>
      <w:autoSpaceDN w:val="0"/>
      <w:adjustRightInd w:val="0"/>
      <w:spacing w:after="0" w:line="240" w:lineRule="auto"/>
      <w:jc w:val="center"/>
    </w:pPr>
    <w:rPr>
      <w:rFonts w:ascii="Times New Roman" w:hAnsi="Times New Roman"/>
      <w:sz w:val="24"/>
      <w:szCs w:val="24"/>
    </w:rPr>
  </w:style>
  <w:style w:type="character" w:customStyle="1" w:styleId="FontStyle67">
    <w:name w:val="Font Style67"/>
    <w:basedOn w:val="Domylnaczcionkaakapitu"/>
    <w:rsid w:val="00C318BA"/>
    <w:rPr>
      <w:rFonts w:ascii="Times New Roman" w:hAnsi="Times New Roman" w:cs="Times New Roman"/>
      <w:spacing w:val="-10"/>
      <w:sz w:val="18"/>
      <w:szCs w:val="18"/>
    </w:rPr>
  </w:style>
  <w:style w:type="paragraph" w:customStyle="1" w:styleId="Style39">
    <w:name w:val="Style39"/>
    <w:basedOn w:val="Normalny"/>
    <w:rsid w:val="00C318BA"/>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andardowytekst">
    <w:name w:val="Standardowy.tekst"/>
    <w:rsid w:val="00C318BA"/>
    <w:pPr>
      <w:spacing w:after="0" w:line="240" w:lineRule="auto"/>
      <w:jc w:val="both"/>
    </w:pPr>
    <w:rPr>
      <w:rFonts w:ascii="Times New Roman" w:eastAsia="Times New Roman" w:hAnsi="Times New Roman" w:cs="Times New Roman"/>
      <w:sz w:val="20"/>
      <w:szCs w:val="20"/>
      <w:lang w:eastAsia="pl-PL"/>
    </w:rPr>
  </w:style>
  <w:style w:type="paragraph" w:customStyle="1" w:styleId="Style17">
    <w:name w:val="Style17"/>
    <w:basedOn w:val="Normalny"/>
    <w:rsid w:val="00C318BA"/>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29">
    <w:name w:val="Style29"/>
    <w:basedOn w:val="Normalny"/>
    <w:rsid w:val="00C318BA"/>
    <w:pPr>
      <w:widowControl w:val="0"/>
      <w:autoSpaceDE w:val="0"/>
      <w:autoSpaceDN w:val="0"/>
      <w:adjustRightInd w:val="0"/>
      <w:spacing w:after="0" w:line="211" w:lineRule="exact"/>
      <w:ind w:hanging="101"/>
    </w:pPr>
    <w:rPr>
      <w:rFonts w:ascii="Times New Roman" w:hAnsi="Times New Roman"/>
      <w:sz w:val="24"/>
      <w:szCs w:val="24"/>
    </w:rPr>
  </w:style>
  <w:style w:type="paragraph" w:customStyle="1" w:styleId="Style42">
    <w:name w:val="Style42"/>
    <w:basedOn w:val="Normalny"/>
    <w:rsid w:val="00C318BA"/>
    <w:pPr>
      <w:widowControl w:val="0"/>
      <w:autoSpaceDE w:val="0"/>
      <w:autoSpaceDN w:val="0"/>
      <w:adjustRightInd w:val="0"/>
      <w:spacing w:after="0" w:line="845" w:lineRule="exact"/>
    </w:pPr>
    <w:rPr>
      <w:rFonts w:ascii="Times New Roman" w:hAnsi="Times New Roman"/>
      <w:sz w:val="24"/>
      <w:szCs w:val="24"/>
    </w:rPr>
  </w:style>
  <w:style w:type="paragraph" w:customStyle="1" w:styleId="Style30">
    <w:name w:val="Style30"/>
    <w:basedOn w:val="Normalny"/>
    <w:rsid w:val="00C318BA"/>
    <w:pPr>
      <w:widowControl w:val="0"/>
      <w:autoSpaceDE w:val="0"/>
      <w:autoSpaceDN w:val="0"/>
      <w:adjustRightInd w:val="0"/>
      <w:spacing w:after="0" w:line="240" w:lineRule="auto"/>
    </w:pPr>
    <w:rPr>
      <w:rFonts w:ascii="Times New Roman" w:hAnsi="Times New Roman"/>
      <w:sz w:val="24"/>
      <w:szCs w:val="24"/>
    </w:rPr>
  </w:style>
  <w:style w:type="paragraph" w:customStyle="1" w:styleId="Style5">
    <w:name w:val="Style5"/>
    <w:basedOn w:val="Normalny"/>
    <w:rsid w:val="00C318BA"/>
    <w:pPr>
      <w:widowControl w:val="0"/>
      <w:autoSpaceDE w:val="0"/>
      <w:autoSpaceDN w:val="0"/>
      <w:adjustRightInd w:val="0"/>
      <w:spacing w:after="0" w:line="240" w:lineRule="auto"/>
    </w:pPr>
    <w:rPr>
      <w:rFonts w:ascii="Times New Roman" w:hAnsi="Times New Roman"/>
      <w:sz w:val="24"/>
      <w:szCs w:val="24"/>
    </w:rPr>
  </w:style>
  <w:style w:type="paragraph" w:customStyle="1" w:styleId="Style41">
    <w:name w:val="Style41"/>
    <w:basedOn w:val="Normalny"/>
    <w:rsid w:val="00C318BA"/>
    <w:pPr>
      <w:widowControl w:val="0"/>
      <w:autoSpaceDE w:val="0"/>
      <w:autoSpaceDN w:val="0"/>
      <w:adjustRightInd w:val="0"/>
      <w:spacing w:after="0" w:line="240" w:lineRule="exact"/>
      <w:ind w:hanging="446"/>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A1BAF-D26F-4BFB-A213-8F6BA24BE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26</Pages>
  <Words>9468</Words>
  <Characters>56810</Characters>
  <Application>Microsoft Office Word</Application>
  <DocSecurity>0</DocSecurity>
  <Lines>473</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Leszkowicz</dc:creator>
  <cp:keywords/>
  <dc:description/>
  <cp:lastModifiedBy>EMM</cp:lastModifiedBy>
  <cp:revision>15</cp:revision>
  <dcterms:created xsi:type="dcterms:W3CDTF">2015-01-11T13:05:00Z</dcterms:created>
  <dcterms:modified xsi:type="dcterms:W3CDTF">2018-08-30T06:56:00Z</dcterms:modified>
</cp:coreProperties>
</file>